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7" w:lineRule="exact"/>
        <w:ind w:left="601" w:right="231"/>
        <w:jc w:val="center"/>
        <w:rPr>
          <w:rFonts w:ascii="华文中宋" w:hAnsi="华文中宋" w:eastAsia="华文中宋"/>
          <w:color w:val="000000"/>
          <w:sz w:val="72"/>
          <w:szCs w:val="72"/>
        </w:rPr>
      </w:pPr>
      <w:bookmarkStart w:id="130" w:name="_GoBack"/>
      <w:bookmarkEnd w:id="130"/>
    </w:p>
    <w:p>
      <w:pPr>
        <w:spacing w:line="747" w:lineRule="exact"/>
        <w:ind w:left="601" w:right="231"/>
        <w:jc w:val="center"/>
        <w:rPr>
          <w:rFonts w:ascii="黑体" w:hAnsi="黑体" w:eastAsia="黑体" w:cs="微软雅黑"/>
          <w:sz w:val="40"/>
          <w:szCs w:val="22"/>
        </w:rPr>
      </w:pPr>
      <w:bookmarkStart w:id="0" w:name="_Hlk154736294"/>
      <w:bookmarkEnd w:id="0"/>
      <w:r>
        <w:rPr>
          <w:rFonts w:hint="eastAsia" w:ascii="华文中宋" w:hAnsi="华文中宋" w:eastAsia="华文中宋"/>
          <w:color w:val="000000"/>
          <w:sz w:val="72"/>
          <w:szCs w:val="72"/>
        </w:rPr>
        <w:drawing>
          <wp:inline distT="0" distB="0" distL="0" distR="0">
            <wp:extent cx="3600450" cy="419100"/>
            <wp:effectExtent l="0" t="0" r="0" b="0"/>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inline>
        </w:drawing>
      </w:r>
    </w:p>
    <w:p>
      <w:pPr>
        <w:ind w:left="595" w:right="231"/>
        <w:jc w:val="center"/>
        <w:rPr>
          <w:rFonts w:ascii="微软雅黑" w:hAnsi="微软雅黑" w:eastAsia="微软雅黑" w:cs="微软雅黑"/>
          <w:sz w:val="36"/>
          <w:szCs w:val="22"/>
        </w:rPr>
      </w:pPr>
    </w:p>
    <w:p>
      <w:pPr>
        <w:ind w:left="595" w:right="231"/>
        <w:jc w:val="center"/>
      </w:pPr>
      <w:r>
        <w:rPr>
          <w:rFonts w:hint="eastAsia" w:ascii="微软雅黑" w:hAnsi="微软雅黑" w:eastAsia="微软雅黑" w:cs="微软雅黑"/>
          <w:sz w:val="36"/>
          <w:szCs w:val="22"/>
        </w:rPr>
        <w:t>养老服务管理专业</w:t>
      </w:r>
    </w:p>
    <w:p>
      <w:pPr>
        <w:spacing w:line="747" w:lineRule="exact"/>
        <w:ind w:left="601" w:right="231"/>
        <w:jc w:val="center"/>
        <w:rPr>
          <w:rFonts w:ascii="黑体" w:hAnsi="黑体" w:eastAsia="黑体" w:cs="微软雅黑"/>
          <w:sz w:val="40"/>
          <w:szCs w:val="22"/>
        </w:rPr>
      </w:pPr>
      <w:r>
        <w:rPr>
          <w:rFonts w:hint="eastAsia" w:ascii="黑体" w:hAnsi="黑体" w:eastAsia="黑体" w:cs="微软雅黑"/>
          <w:sz w:val="40"/>
          <w:szCs w:val="22"/>
        </w:rPr>
        <w:t>2</w:t>
      </w:r>
      <w:r>
        <w:rPr>
          <w:rFonts w:ascii="黑体" w:hAnsi="黑体" w:eastAsia="黑体" w:cs="微软雅黑"/>
          <w:sz w:val="40"/>
          <w:szCs w:val="22"/>
        </w:rPr>
        <w:t>022-2023</w:t>
      </w:r>
      <w:r>
        <w:rPr>
          <w:rFonts w:hint="eastAsia" w:ascii="黑体" w:hAnsi="黑体" w:eastAsia="黑体" w:cs="微软雅黑"/>
          <w:sz w:val="40"/>
          <w:szCs w:val="22"/>
        </w:rPr>
        <w:t>学年本科教学质量报告</w:t>
      </w:r>
    </w:p>
    <w:p>
      <w:pPr>
        <w:spacing w:line="747" w:lineRule="exact"/>
        <w:ind w:left="601" w:right="231"/>
        <w:jc w:val="center"/>
        <w:rPr>
          <w:rFonts w:ascii="黑体" w:hAnsi="黑体" w:eastAsia="黑体"/>
          <w:sz w:val="20"/>
          <w:szCs w:val="20"/>
        </w:rPr>
      </w:pPr>
      <w:r>
        <w:rPr>
          <w:rFonts w:hint="eastAsia" w:ascii="黑体" w:hAnsi="黑体" w:eastAsia="黑体" w:cs="微软雅黑"/>
          <w:sz w:val="28"/>
          <w:szCs w:val="18"/>
        </w:rPr>
        <w:t>（参考模板）</w:t>
      </w:r>
    </w:p>
    <w:p>
      <w:pPr>
        <w:ind w:left="601" w:right="232"/>
        <w:jc w:val="center"/>
      </w:pPr>
      <w:r>
        <w:rPr>
          <w:rFonts w:hint="eastAsia" w:ascii="微软雅黑" w:hAnsi="微软雅黑" w:eastAsia="微软雅黑"/>
          <w:color w:val="333333"/>
          <w:sz w:val="15"/>
          <w:szCs w:val="15"/>
        </w:rPr>
        <w:drawing>
          <wp:inline distT="0" distB="0" distL="0" distR="0">
            <wp:extent cx="1800225" cy="1800225"/>
            <wp:effectExtent l="0" t="0" r="9525" b="9525"/>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inline>
        </w:drawing>
      </w:r>
    </w:p>
    <w:p>
      <w:pPr>
        <w:pStyle w:val="24"/>
        <w:spacing w:before="98" w:beforeAutospacing="0" w:after="0" w:afterAutospacing="0"/>
        <w:ind w:left="597" w:right="231"/>
        <w:jc w:val="center"/>
      </w:pPr>
    </w:p>
    <w:tbl>
      <w:tblPr>
        <w:tblStyle w:val="17"/>
        <w:tblW w:w="0" w:type="auto"/>
        <w:jc w:val="center"/>
        <w:tblLayout w:type="fixed"/>
        <w:tblCellMar>
          <w:top w:w="0" w:type="dxa"/>
          <w:left w:w="0" w:type="dxa"/>
          <w:bottom w:w="0" w:type="dxa"/>
          <w:right w:w="0" w:type="dxa"/>
        </w:tblCellMar>
      </w:tblPr>
      <w:tblGrid>
        <w:gridCol w:w="6880"/>
      </w:tblGrid>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firstLineChars="300"/>
              <w:jc w:val="center"/>
              <w:rPr>
                <w:rFonts w:ascii="微软雅黑" w:hAnsi="微软雅黑" w:eastAsia="微软雅黑"/>
                <w:color w:val="333333"/>
                <w:sz w:val="15"/>
                <w:szCs w:val="15"/>
              </w:rPr>
            </w:pPr>
            <w:r>
              <w:rPr>
                <w:rFonts w:hint="eastAsia" w:ascii="楷体" w:hAnsi="楷体" w:eastAsia="楷体"/>
                <w:color w:val="000000"/>
                <w:sz w:val="30"/>
                <w:szCs w:val="30"/>
              </w:rPr>
              <w:t>专业代码：</w:t>
            </w:r>
            <w:r>
              <w:rPr>
                <w:rFonts w:hint="eastAsia"/>
                <w:i/>
                <w:iCs/>
                <w:color w:val="000000"/>
                <w:sz w:val="30"/>
                <w:szCs w:val="30"/>
                <w:u w:val="single"/>
              </w:rPr>
              <w:t xml:space="preserve"> </w:t>
            </w:r>
            <w:r>
              <w:rPr>
                <w:color w:val="000000"/>
                <w:sz w:val="30"/>
                <w:szCs w:val="30"/>
                <w:u w:val="single"/>
              </w:rPr>
              <w:t xml:space="preserve">120414T </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1500" w:firstLineChars="500"/>
              <w:rPr>
                <w:rFonts w:ascii="微软雅黑" w:hAnsi="微软雅黑" w:eastAsia="微软雅黑"/>
                <w:color w:val="333333"/>
                <w:sz w:val="15"/>
                <w:szCs w:val="15"/>
              </w:rPr>
            </w:pPr>
            <w:r>
              <w:rPr>
                <w:rFonts w:hint="eastAsia" w:ascii="楷体" w:hAnsi="楷体" w:eastAsia="楷体"/>
                <w:color w:val="000000"/>
                <w:sz w:val="30"/>
                <w:szCs w:val="30"/>
              </w:rPr>
              <w:t>专业负责人：</w:t>
            </w:r>
            <w:r>
              <w:rPr>
                <w:rFonts w:hint="eastAsia" w:ascii="微软雅黑" w:hAnsi="微软雅黑" w:eastAsia="微软雅黑"/>
                <w:color w:val="000000"/>
                <w:sz w:val="30"/>
                <w:szCs w:val="30"/>
                <w:u w:val="single"/>
              </w:rPr>
              <w:t>  史健勇     （签字）</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教学院长：</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罗娟      （签字）</w:t>
            </w:r>
          </w:p>
        </w:tc>
      </w:tr>
      <w:tr>
        <w:trPr>
          <w:trHeight w:val="469"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学院院长：</w:t>
            </w:r>
            <w:r>
              <w:rPr>
                <w:rFonts w:hint="eastAsia" w:ascii="微软雅黑" w:hAnsi="微软雅黑" w:eastAsia="微软雅黑"/>
                <w:color w:val="000000"/>
                <w:sz w:val="30"/>
                <w:szCs w:val="30"/>
                <w:u w:val="single"/>
              </w:rPr>
              <w:t>   </w:t>
            </w:r>
            <w:r>
              <w:rPr>
                <w:rFonts w:ascii="微软雅黑" w:hAnsi="微软雅黑" w:eastAsia="微软雅黑"/>
                <w:color w:val="000000"/>
                <w:sz w:val="30"/>
                <w:szCs w:val="30"/>
                <w:u w:val="single"/>
              </w:rPr>
              <w:t xml:space="preserve"> </w:t>
            </w:r>
            <w:r>
              <w:rPr>
                <w:rFonts w:hint="eastAsia" w:ascii="微软雅黑" w:hAnsi="微软雅黑" w:eastAsia="微软雅黑"/>
                <w:color w:val="000000"/>
                <w:sz w:val="30"/>
                <w:szCs w:val="30"/>
                <w:u w:val="single"/>
              </w:rPr>
              <w:t>胡斌      （签字）</w:t>
            </w:r>
          </w:p>
        </w:tc>
      </w:tr>
      <w:tr>
        <w:trPr>
          <w:trHeight w:val="481" w:hRule="atLeast"/>
          <w:jc w:val="center"/>
        </w:trPr>
        <w:tc>
          <w:tcPr>
            <w:tcW w:w="6880" w:type="dxa"/>
            <w:tcBorders>
              <w:top w:val="single" w:color="666666" w:sz="4" w:space="0"/>
              <w:left w:val="single" w:color="666666" w:sz="4" w:space="0"/>
              <w:bottom w:val="single" w:color="666666" w:sz="4" w:space="0"/>
              <w:right w:val="single" w:color="666666" w:sz="4" w:space="0"/>
            </w:tcBorders>
            <w:vAlign w:val="center"/>
          </w:tcPr>
          <w:p>
            <w:pPr>
              <w:spacing w:line="400" w:lineRule="exact"/>
              <w:ind w:firstLine="900"/>
              <w:jc w:val="center"/>
              <w:rPr>
                <w:rFonts w:ascii="微软雅黑" w:hAnsi="微软雅黑" w:eastAsia="微软雅黑"/>
                <w:color w:val="333333"/>
                <w:sz w:val="15"/>
                <w:szCs w:val="15"/>
              </w:rPr>
            </w:pPr>
            <w:r>
              <w:rPr>
                <w:rFonts w:hint="eastAsia" w:ascii="楷体" w:hAnsi="楷体" w:eastAsia="楷体"/>
                <w:color w:val="000000"/>
                <w:sz w:val="30"/>
                <w:szCs w:val="30"/>
              </w:rPr>
              <w:t xml:space="preserve"> </w:t>
            </w:r>
            <w:r>
              <w:rPr>
                <w:rFonts w:ascii="楷体" w:hAnsi="楷体" w:eastAsia="楷体"/>
                <w:color w:val="000000"/>
                <w:sz w:val="30"/>
                <w:szCs w:val="30"/>
              </w:rPr>
              <w:t xml:space="preserve">  </w:t>
            </w:r>
            <w:r>
              <w:rPr>
                <w:rFonts w:hint="eastAsia" w:ascii="楷体" w:hAnsi="楷体" w:eastAsia="楷体"/>
                <w:color w:val="000000"/>
                <w:sz w:val="30"/>
                <w:szCs w:val="30"/>
              </w:rPr>
              <w:t>学院名称：</w:t>
            </w:r>
            <w:r>
              <w:rPr>
                <w:rFonts w:hint="eastAsia" w:ascii="微软雅黑" w:hAnsi="微软雅黑" w:eastAsia="微软雅黑"/>
                <w:color w:val="000000"/>
                <w:sz w:val="30"/>
                <w:szCs w:val="30"/>
                <w:u w:val="single"/>
              </w:rPr>
              <w:t>  管理学院       （盖章）</w:t>
            </w:r>
          </w:p>
        </w:tc>
      </w:tr>
    </w:tbl>
    <w:p>
      <w:pPr>
        <w:pStyle w:val="24"/>
        <w:spacing w:before="98" w:beforeAutospacing="0" w:after="0" w:afterAutospacing="0"/>
        <w:ind w:left="597" w:right="231"/>
        <w:jc w:val="center"/>
      </w:pPr>
    </w:p>
    <w:p>
      <w:pPr>
        <w:pStyle w:val="24"/>
        <w:spacing w:before="98" w:beforeAutospacing="0" w:after="0" w:afterAutospacing="0"/>
        <w:ind w:left="597" w:right="231"/>
        <w:jc w:val="center"/>
      </w:pPr>
    </w:p>
    <w:p>
      <w:pPr>
        <w:pStyle w:val="24"/>
        <w:spacing w:before="98" w:beforeAutospacing="0" w:after="0" w:afterAutospacing="0"/>
        <w:ind w:left="597" w:right="231"/>
        <w:jc w:val="center"/>
      </w:pPr>
    </w:p>
    <w:p>
      <w:pPr>
        <w:pStyle w:val="24"/>
        <w:spacing w:before="98" w:beforeAutospacing="0" w:after="0" w:afterAutospacing="0"/>
        <w:ind w:left="597" w:right="231"/>
        <w:jc w:val="center"/>
      </w:pPr>
      <w:r>
        <w:rPr>
          <w:rFonts w:hint="eastAsia"/>
        </w:rPr>
        <w:t>2024年</w:t>
      </w:r>
      <w:r>
        <w:rPr>
          <w:rFonts w:hint="eastAsia"/>
          <w:u w:val="single"/>
        </w:rPr>
        <w:t>_2</w:t>
      </w:r>
      <w:r>
        <w:rPr>
          <w:u w:val="single"/>
        </w:rPr>
        <w:t>__</w:t>
      </w:r>
      <w:r>
        <w:rPr>
          <w:rFonts w:hint="eastAsia"/>
        </w:rPr>
        <w:t>月</w:t>
      </w:r>
    </w:p>
    <w:p>
      <w:r>
        <w:br w:type="page"/>
      </w:r>
    </w:p>
    <w:p>
      <w:pPr>
        <w:jc w:val="center"/>
        <w:rPr>
          <w:rFonts w:ascii="Times New Roman" w:hAnsi="Times New Roman" w:eastAsia="黑体" w:cs="Times New Roman"/>
          <w:b/>
          <w:bCs/>
          <w:sz w:val="32"/>
          <w:szCs w:val="32"/>
        </w:rPr>
      </w:pPr>
      <w:r>
        <w:rPr>
          <w:rFonts w:ascii="黑体" w:hAnsi="黑体" w:eastAsia="黑体"/>
          <w:b/>
          <w:bCs/>
          <w:sz w:val="32"/>
          <w:szCs w:val="32"/>
          <w:lang w:val="zh-CN"/>
        </w:rPr>
        <w:t>目</w:t>
      </w:r>
      <w:r>
        <w:rPr>
          <w:rFonts w:hint="eastAsia" w:ascii="黑体" w:hAnsi="黑体" w:eastAsia="黑体"/>
          <w:b/>
          <w:bCs/>
          <w:sz w:val="32"/>
          <w:szCs w:val="32"/>
          <w:lang w:val="zh-CN"/>
        </w:rPr>
        <w:t xml:space="preserve"> </w:t>
      </w:r>
      <w:r>
        <w:rPr>
          <w:rFonts w:ascii="黑体" w:hAnsi="黑体" w:eastAsia="黑体"/>
          <w:b/>
          <w:bCs/>
          <w:sz w:val="32"/>
          <w:szCs w:val="32"/>
          <w:lang w:val="zh-CN"/>
        </w:rPr>
        <w:t>录</w:t>
      </w:r>
      <w:r>
        <w:rPr>
          <w:rFonts w:ascii="Times New Roman" w:hAnsi="Times New Roman" w:cs="Times New Roman"/>
          <w:b/>
          <w:bCs/>
        </w:rPr>
        <w:fldChar w:fldCharType="begin"/>
      </w:r>
      <w:r>
        <w:rPr>
          <w:rFonts w:ascii="Times New Roman" w:hAnsi="Times New Roman" w:cs="Times New Roman"/>
          <w:b/>
          <w:bCs/>
        </w:rPr>
        <w:instrText xml:space="preserve"> TOC \o "1-3" \h \z \u </w:instrText>
      </w:r>
      <w:r>
        <w:rPr>
          <w:rFonts w:ascii="Times New Roman" w:hAnsi="Times New Roman" w:cs="Times New Roman"/>
          <w:b/>
          <w:bCs/>
        </w:rPr>
        <w:fldChar w:fldCharType="separate"/>
      </w:r>
    </w:p>
    <w:p>
      <w:pPr>
        <w:pStyle w:val="16"/>
        <w:tabs>
          <w:tab w:val="right" w:leader="dot" w:pos="8296"/>
        </w:tabs>
        <w:adjustRightInd w:val="0"/>
        <w:snapToGrid w:val="0"/>
        <w:spacing w:line="360" w:lineRule="auto"/>
        <w:ind w:left="0" w:leftChars="0"/>
        <w:rPr>
          <w:rFonts w:ascii="Times New Roman" w:hAnsi="Times New Roman" w:eastAsia="黑体" w:cs="Times New Roman"/>
          <w:b/>
          <w:bCs/>
          <w:kern w:val="2"/>
          <w:sz w:val="22"/>
          <w14:ligatures w14:val="standardContextual"/>
        </w:rPr>
      </w:pPr>
      <w:r>
        <w:fldChar w:fldCharType="begin"/>
      </w:r>
      <w:r>
        <w:instrText xml:space="preserve"> HYPERLINK \l "_Toc154735763" </w:instrText>
      </w:r>
      <w:r>
        <w:fldChar w:fldCharType="separate"/>
      </w:r>
      <w:r>
        <w:rPr>
          <w:rStyle w:val="21"/>
          <w:rFonts w:ascii="Times New Roman" w:hAnsi="Times New Roman" w:eastAsia="黑体" w:cs="Times New Roman"/>
          <w:b/>
          <w:bCs/>
          <w:sz w:val="28"/>
          <w:szCs w:val="28"/>
        </w:rPr>
        <w:t>1.专业概况</w:t>
      </w:r>
      <w:r>
        <w:rPr>
          <w:rFonts w:ascii="Times New Roman" w:hAnsi="Times New Roman" w:eastAsia="黑体" w:cs="Times New Roman"/>
          <w:b/>
          <w:bCs/>
          <w:sz w:val="28"/>
          <w:szCs w:val="28"/>
        </w:rPr>
        <w:tab/>
      </w:r>
      <w:r>
        <w:rPr>
          <w:rFonts w:ascii="Times New Roman" w:hAnsi="Times New Roman" w:eastAsia="黑体" w:cs="Times New Roman"/>
          <w:b/>
          <w:bCs/>
          <w:sz w:val="28"/>
          <w:szCs w:val="28"/>
        </w:rPr>
        <w:fldChar w:fldCharType="begin"/>
      </w:r>
      <w:r>
        <w:rPr>
          <w:rFonts w:ascii="Times New Roman" w:hAnsi="Times New Roman" w:eastAsia="黑体" w:cs="Times New Roman"/>
          <w:b/>
          <w:bCs/>
          <w:sz w:val="28"/>
          <w:szCs w:val="28"/>
        </w:rPr>
        <w:instrText xml:space="preserve"> PAGEREF _Toc154735763 \h </w:instrText>
      </w:r>
      <w:r>
        <w:rPr>
          <w:rFonts w:ascii="Times New Roman" w:hAnsi="Times New Roman" w:eastAsia="黑体" w:cs="Times New Roman"/>
          <w:b/>
          <w:bCs/>
          <w:sz w:val="28"/>
          <w:szCs w:val="28"/>
        </w:rPr>
        <w:fldChar w:fldCharType="separate"/>
      </w:r>
      <w:r>
        <w:rPr>
          <w:rFonts w:ascii="Times New Roman" w:hAnsi="Times New Roman" w:eastAsia="黑体" w:cs="Times New Roman"/>
          <w:b/>
          <w:bCs/>
          <w:sz w:val="28"/>
          <w:szCs w:val="28"/>
        </w:rPr>
        <w:t>1</w:t>
      </w:r>
      <w:r>
        <w:rPr>
          <w:rFonts w:ascii="Times New Roman" w:hAnsi="Times New Roman" w:eastAsia="黑体" w:cs="Times New Roman"/>
          <w:b/>
          <w:bCs/>
          <w:sz w:val="28"/>
          <w:szCs w:val="28"/>
        </w:rPr>
        <w:fldChar w:fldCharType="end"/>
      </w:r>
      <w:r>
        <w:rPr>
          <w:rFonts w:ascii="Times New Roman" w:hAnsi="Times New Roman" w:eastAsia="黑体" w:cs="Times New Roman"/>
          <w:b/>
          <w:bCs/>
          <w:sz w:val="28"/>
          <w:szCs w:val="28"/>
        </w:rPr>
        <w:fldChar w:fldCharType="end"/>
      </w:r>
    </w:p>
    <w:p>
      <w:pPr>
        <w:pStyle w:val="9"/>
        <w:adjustRightInd w:val="0"/>
        <w:snapToGrid w:val="0"/>
        <w:ind w:left="566" w:leftChars="236"/>
        <w:rPr>
          <w:rFonts w:ascii="Times New Roman" w:hAnsi="Times New Roman" w:cs="Times New Roman" w:eastAsiaTheme="minorEastAsia"/>
          <w:kern w:val="2"/>
          <w:sz w:val="21"/>
          <w:szCs w:val="22"/>
          <w14:ligatures w14:val="standardContextual"/>
        </w:rPr>
      </w:pPr>
      <w:r>
        <w:fldChar w:fldCharType="begin"/>
      </w:r>
      <w:r>
        <w:instrText xml:space="preserve"> HYPERLINK \l "_Toc154735764" </w:instrText>
      </w:r>
      <w:r>
        <w:fldChar w:fldCharType="separate"/>
      </w:r>
      <w:r>
        <w:rPr>
          <w:rStyle w:val="21"/>
          <w:rFonts w:ascii="Times New Roman" w:hAnsi="Times New Roman" w:cs="Times New Roman"/>
        </w:rPr>
        <w:t>1.1专业设置情况</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_Toc154735764 \h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fldChar w:fldCharType="end"/>
      </w:r>
    </w:p>
    <w:p>
      <w:pPr>
        <w:pStyle w:val="9"/>
        <w:adjustRightInd w:val="0"/>
        <w:snapToGrid w:val="0"/>
        <w:ind w:left="566" w:leftChars="236"/>
        <w:rPr>
          <w:rFonts w:ascii="Times New Roman" w:hAnsi="Times New Roman" w:cs="Times New Roman" w:eastAsiaTheme="minorEastAsia"/>
          <w:kern w:val="2"/>
          <w:sz w:val="21"/>
          <w:szCs w:val="22"/>
          <w14:ligatures w14:val="standardContextual"/>
        </w:rPr>
      </w:pPr>
      <w:r>
        <w:fldChar w:fldCharType="begin"/>
      </w:r>
      <w:r>
        <w:instrText xml:space="preserve"> HYPERLINK \l "_Toc154735765" </w:instrText>
      </w:r>
      <w:r>
        <w:fldChar w:fldCharType="separate"/>
      </w:r>
      <w:r>
        <w:rPr>
          <w:rStyle w:val="21"/>
          <w:rFonts w:ascii="Times New Roman" w:hAnsi="Times New Roman" w:cs="Times New Roman"/>
        </w:rPr>
        <w:t>1.2人才培养目标</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_Toc154735765 \h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fldChar w:fldCharType="end"/>
      </w:r>
    </w:p>
    <w:p>
      <w:pPr>
        <w:pStyle w:val="16"/>
        <w:tabs>
          <w:tab w:val="right" w:leader="dot" w:pos="8296"/>
        </w:tabs>
        <w:adjustRightInd w:val="0"/>
        <w:snapToGrid w:val="0"/>
        <w:spacing w:line="360" w:lineRule="auto"/>
        <w:ind w:left="0" w:leftChars="0"/>
        <w:rPr>
          <w:rStyle w:val="21"/>
          <w:rFonts w:ascii="Times New Roman" w:hAnsi="Times New Roman" w:eastAsia="黑体" w:cs="Times New Roman"/>
          <w:b/>
          <w:bCs/>
          <w:sz w:val="28"/>
          <w:szCs w:val="28"/>
        </w:rPr>
      </w:pPr>
      <w:r>
        <w:fldChar w:fldCharType="begin"/>
      </w:r>
      <w:r>
        <w:instrText xml:space="preserve"> HYPERLINK \l "_Toc154735766" </w:instrText>
      </w:r>
      <w:r>
        <w:fldChar w:fldCharType="separate"/>
      </w:r>
      <w:r>
        <w:rPr>
          <w:rStyle w:val="21"/>
          <w:rFonts w:ascii="Times New Roman" w:hAnsi="Times New Roman" w:eastAsia="黑体" w:cs="Times New Roman"/>
          <w:b/>
          <w:bCs/>
          <w:sz w:val="28"/>
          <w:szCs w:val="28"/>
        </w:rPr>
        <w:t>2.毕业要求</w:t>
      </w:r>
      <w:r>
        <w:rPr>
          <w:rStyle w:val="21"/>
          <w:rFonts w:ascii="Times New Roman" w:hAnsi="Times New Roman" w:eastAsia="黑体" w:cs="Times New Roman"/>
          <w:b/>
          <w:bCs/>
          <w:sz w:val="28"/>
          <w:szCs w:val="28"/>
        </w:rPr>
        <w:tab/>
      </w:r>
      <w:r>
        <w:rPr>
          <w:rStyle w:val="21"/>
          <w:rFonts w:ascii="Times New Roman" w:hAnsi="Times New Roman" w:eastAsia="黑体" w:cs="Times New Roman"/>
          <w:b/>
          <w:bCs/>
          <w:sz w:val="28"/>
          <w:szCs w:val="28"/>
        </w:rPr>
        <w:fldChar w:fldCharType="begin"/>
      </w:r>
      <w:r>
        <w:rPr>
          <w:rStyle w:val="21"/>
          <w:rFonts w:ascii="Times New Roman" w:hAnsi="Times New Roman" w:eastAsia="黑体" w:cs="Times New Roman"/>
          <w:b/>
          <w:bCs/>
          <w:sz w:val="28"/>
          <w:szCs w:val="28"/>
        </w:rPr>
        <w:instrText xml:space="preserve"> PAGEREF _Toc154735766 \h </w:instrText>
      </w:r>
      <w:r>
        <w:rPr>
          <w:rStyle w:val="21"/>
          <w:rFonts w:ascii="Times New Roman" w:hAnsi="Times New Roman" w:eastAsia="黑体" w:cs="Times New Roman"/>
          <w:b/>
          <w:bCs/>
          <w:sz w:val="28"/>
          <w:szCs w:val="28"/>
        </w:rPr>
        <w:fldChar w:fldCharType="separate"/>
      </w:r>
      <w:r>
        <w:rPr>
          <w:rStyle w:val="21"/>
          <w:rFonts w:ascii="Times New Roman" w:hAnsi="Times New Roman" w:eastAsia="黑体" w:cs="Times New Roman"/>
          <w:b/>
          <w:bCs/>
          <w:sz w:val="28"/>
          <w:szCs w:val="28"/>
        </w:rPr>
        <w:t>3</w:t>
      </w:r>
      <w:r>
        <w:rPr>
          <w:rStyle w:val="21"/>
          <w:rFonts w:ascii="Times New Roman" w:hAnsi="Times New Roman" w:eastAsia="黑体" w:cs="Times New Roman"/>
          <w:b/>
          <w:bCs/>
          <w:sz w:val="28"/>
          <w:szCs w:val="28"/>
        </w:rPr>
        <w:fldChar w:fldCharType="end"/>
      </w:r>
      <w:r>
        <w:rPr>
          <w:rStyle w:val="21"/>
          <w:rFonts w:ascii="Times New Roman" w:hAnsi="Times New Roman" w:eastAsia="黑体" w:cs="Times New Roman"/>
          <w:b/>
          <w:bCs/>
          <w:sz w:val="28"/>
          <w:szCs w:val="28"/>
        </w:rPr>
        <w:fldChar w:fldCharType="end"/>
      </w:r>
    </w:p>
    <w:p>
      <w:pPr>
        <w:pStyle w:val="16"/>
        <w:tabs>
          <w:tab w:val="right" w:leader="dot" w:pos="8296"/>
        </w:tabs>
        <w:adjustRightInd w:val="0"/>
        <w:snapToGrid w:val="0"/>
        <w:spacing w:line="360" w:lineRule="auto"/>
        <w:ind w:left="0" w:leftChars="0"/>
        <w:rPr>
          <w:rStyle w:val="21"/>
          <w:rFonts w:ascii="Times New Roman" w:hAnsi="Times New Roman" w:eastAsia="黑体" w:cs="Times New Roman"/>
          <w:b/>
          <w:bCs/>
          <w:sz w:val="28"/>
          <w:szCs w:val="28"/>
        </w:rPr>
      </w:pPr>
      <w:r>
        <w:fldChar w:fldCharType="begin"/>
      </w:r>
      <w:r>
        <w:instrText xml:space="preserve"> HYPERLINK \l "_Toc154735767" </w:instrText>
      </w:r>
      <w:r>
        <w:fldChar w:fldCharType="separate"/>
      </w:r>
      <w:r>
        <w:rPr>
          <w:rStyle w:val="21"/>
          <w:rFonts w:ascii="Times New Roman" w:hAnsi="Times New Roman" w:eastAsia="黑体" w:cs="Times New Roman"/>
          <w:b/>
          <w:bCs/>
          <w:sz w:val="28"/>
          <w:szCs w:val="28"/>
        </w:rPr>
        <w:t>3.培养情况</w:t>
      </w:r>
      <w:r>
        <w:rPr>
          <w:rStyle w:val="21"/>
          <w:rFonts w:ascii="Times New Roman" w:hAnsi="Times New Roman" w:eastAsia="黑体" w:cs="Times New Roman"/>
          <w:b/>
          <w:bCs/>
          <w:sz w:val="28"/>
          <w:szCs w:val="28"/>
        </w:rPr>
        <w:tab/>
      </w:r>
      <w:r>
        <w:rPr>
          <w:rStyle w:val="21"/>
          <w:rFonts w:ascii="Times New Roman" w:hAnsi="Times New Roman" w:eastAsia="黑体" w:cs="Times New Roman"/>
          <w:b/>
          <w:bCs/>
          <w:sz w:val="28"/>
          <w:szCs w:val="28"/>
        </w:rPr>
        <w:fldChar w:fldCharType="begin"/>
      </w:r>
      <w:r>
        <w:rPr>
          <w:rStyle w:val="21"/>
          <w:rFonts w:ascii="Times New Roman" w:hAnsi="Times New Roman" w:eastAsia="黑体" w:cs="Times New Roman"/>
          <w:b/>
          <w:bCs/>
          <w:sz w:val="28"/>
          <w:szCs w:val="28"/>
        </w:rPr>
        <w:instrText xml:space="preserve"> PAGEREF _Toc154735767 \h </w:instrText>
      </w:r>
      <w:r>
        <w:rPr>
          <w:rStyle w:val="21"/>
          <w:rFonts w:ascii="Times New Roman" w:hAnsi="Times New Roman" w:eastAsia="黑体" w:cs="Times New Roman"/>
          <w:b/>
          <w:bCs/>
          <w:sz w:val="28"/>
          <w:szCs w:val="28"/>
        </w:rPr>
        <w:fldChar w:fldCharType="separate"/>
      </w:r>
      <w:r>
        <w:rPr>
          <w:rStyle w:val="21"/>
          <w:rFonts w:ascii="Times New Roman" w:hAnsi="Times New Roman" w:eastAsia="黑体" w:cs="Times New Roman"/>
          <w:b/>
          <w:bCs/>
          <w:sz w:val="28"/>
          <w:szCs w:val="28"/>
        </w:rPr>
        <w:t>4</w:t>
      </w:r>
      <w:r>
        <w:rPr>
          <w:rStyle w:val="21"/>
          <w:rFonts w:ascii="Times New Roman" w:hAnsi="Times New Roman" w:eastAsia="黑体" w:cs="Times New Roman"/>
          <w:b/>
          <w:bCs/>
          <w:sz w:val="28"/>
          <w:szCs w:val="28"/>
        </w:rPr>
        <w:fldChar w:fldCharType="end"/>
      </w:r>
      <w:r>
        <w:rPr>
          <w:rStyle w:val="21"/>
          <w:rFonts w:ascii="Times New Roman" w:hAnsi="Times New Roman" w:eastAsia="黑体" w:cs="Times New Roman"/>
          <w:b/>
          <w:bCs/>
          <w:sz w:val="28"/>
          <w:szCs w:val="28"/>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"_Toc154735768" </w:instrText>
      </w:r>
      <w:r>
        <w:fldChar w:fldCharType="separate"/>
      </w:r>
      <w:r>
        <w:rPr>
          <w:rStyle w:val="21"/>
          <w:rFonts w:ascii="Times New Roman" w:hAnsi="Times New Roman" w:cs="Times New Roman"/>
        </w:rPr>
        <w:t>3.1专业建设情况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_Toc154735768 \h </w:instrText>
      </w:r>
      <w:r>
        <w:rPr>
          <w:rStyle w:val="21"/>
          <w:rFonts w:ascii="Times New Roman" w:hAnsi="Times New Roman" w:cs="Times New Roman"/>
        </w:rPr>
        <w:fldChar w:fldCharType="separate"/>
      </w:r>
      <w:r>
        <w:rPr>
          <w:rStyle w:val="21"/>
          <w:rFonts w:ascii="Times New Roman" w:hAnsi="Times New Roman" w:cs="Times New Roman"/>
        </w:rPr>
        <w:t>4</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"_Toc154735769" </w:instrText>
      </w:r>
      <w:r>
        <w:fldChar w:fldCharType="separate"/>
      </w:r>
      <w:r>
        <w:rPr>
          <w:rStyle w:val="21"/>
          <w:rFonts w:ascii="Times New Roman" w:hAnsi="Times New Roman" w:cs="Times New Roman"/>
        </w:rPr>
        <w:t>3.2专业教学计划</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_Toc154735769 \h </w:instrText>
      </w:r>
      <w:r>
        <w:rPr>
          <w:rStyle w:val="21"/>
          <w:rFonts w:ascii="Times New Roman" w:hAnsi="Times New Roman" w:cs="Times New Roman"/>
        </w:rPr>
        <w:fldChar w:fldCharType="separate"/>
      </w:r>
      <w:r>
        <w:rPr>
          <w:rStyle w:val="21"/>
          <w:rFonts w:ascii="Times New Roman" w:hAnsi="Times New Roman" w:cs="Times New Roman"/>
        </w:rPr>
        <w:t>5</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"_Toc154735770" </w:instrText>
      </w:r>
      <w:r>
        <w:fldChar w:fldCharType="separate"/>
      </w:r>
      <w:r>
        <w:rPr>
          <w:rStyle w:val="21"/>
          <w:rFonts w:ascii="Times New Roman" w:hAnsi="Times New Roman" w:cs="Times New Roman"/>
        </w:rPr>
        <w:t>3.3专业课开设情况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_Toc154735770 \h </w:instrText>
      </w:r>
      <w:r>
        <w:rPr>
          <w:rStyle w:val="21"/>
          <w:rFonts w:ascii="Times New Roman" w:hAnsi="Times New Roman" w:cs="Times New Roman"/>
        </w:rPr>
        <w:fldChar w:fldCharType="separate"/>
      </w:r>
      <w:r>
        <w:rPr>
          <w:rStyle w:val="21"/>
          <w:rFonts w:ascii="Times New Roman" w:hAnsi="Times New Roman" w:cs="Times New Roman"/>
        </w:rPr>
        <w:t>6</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"_Toc154735771" </w:instrText>
      </w:r>
      <w:r>
        <w:fldChar w:fldCharType="separate"/>
      </w:r>
      <w:r>
        <w:rPr>
          <w:rStyle w:val="21"/>
          <w:rFonts w:ascii="Times New Roman" w:hAnsi="Times New Roman" w:cs="Times New Roman"/>
        </w:rPr>
        <w:t>3.4专业课课堂规模</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_Toc154735771 \h </w:instrText>
      </w:r>
      <w:r>
        <w:rPr>
          <w:rStyle w:val="21"/>
          <w:rFonts w:ascii="Times New Roman" w:hAnsi="Times New Roman" w:cs="Times New Roman"/>
        </w:rPr>
        <w:fldChar w:fldCharType="separate"/>
      </w:r>
      <w:r>
        <w:rPr>
          <w:rStyle w:val="21"/>
          <w:rFonts w:ascii="Times New Roman" w:hAnsi="Times New Roman" w:cs="Times New Roman"/>
        </w:rPr>
        <w:t>7</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"_Toc154735772" </w:instrText>
      </w:r>
      <w:r>
        <w:fldChar w:fldCharType="separate"/>
      </w:r>
      <w:r>
        <w:rPr>
          <w:rStyle w:val="21"/>
          <w:rFonts w:ascii="Times New Roman" w:hAnsi="Times New Roman" w:cs="Times New Roman"/>
        </w:rPr>
        <w:t>3.5专业的核心课程情况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_Toc154735772 \h </w:instrText>
      </w:r>
      <w:r>
        <w:rPr>
          <w:rStyle w:val="21"/>
          <w:rFonts w:ascii="Times New Roman" w:hAnsi="Times New Roman" w:cs="Times New Roman"/>
        </w:rPr>
        <w:fldChar w:fldCharType="separate"/>
      </w:r>
      <w:r>
        <w:rPr>
          <w:rStyle w:val="21"/>
          <w:rFonts w:ascii="Times New Roman" w:hAnsi="Times New Roman" w:cs="Times New Roman"/>
        </w:rPr>
        <w:t>7</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"_Toc154735773" </w:instrText>
      </w:r>
      <w:r>
        <w:fldChar w:fldCharType="separate"/>
      </w:r>
      <w:r>
        <w:rPr>
          <w:rStyle w:val="21"/>
          <w:rFonts w:ascii="Times New Roman" w:hAnsi="Times New Roman" w:cs="Times New Roman"/>
        </w:rPr>
        <w:t>3.6实验教学情况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_Toc154735773 \h </w:instrText>
      </w:r>
      <w:r>
        <w:rPr>
          <w:rStyle w:val="21"/>
          <w:rFonts w:ascii="Times New Roman" w:hAnsi="Times New Roman" w:cs="Times New Roman"/>
        </w:rPr>
        <w:fldChar w:fldCharType="separate"/>
      </w:r>
      <w:r>
        <w:rPr>
          <w:rStyle w:val="21"/>
          <w:rFonts w:ascii="Times New Roman" w:hAnsi="Times New Roman" w:cs="Times New Roman"/>
        </w:rPr>
        <w:t>7</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"_Toc154735774" </w:instrText>
      </w:r>
      <w:r>
        <w:fldChar w:fldCharType="separate"/>
      </w:r>
      <w:r>
        <w:rPr>
          <w:rStyle w:val="21"/>
          <w:rFonts w:ascii="Times New Roman" w:hAnsi="Times New Roman" w:cs="Times New Roman"/>
        </w:rPr>
        <w:t>3.7实践教学情况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_Toc154735774 \h </w:instrText>
      </w:r>
      <w:r>
        <w:rPr>
          <w:rStyle w:val="21"/>
          <w:rFonts w:ascii="Times New Roman" w:hAnsi="Times New Roman" w:cs="Times New Roman"/>
        </w:rPr>
        <w:fldChar w:fldCharType="separate"/>
      </w:r>
      <w:r>
        <w:rPr>
          <w:rStyle w:val="21"/>
          <w:rFonts w:ascii="Times New Roman" w:hAnsi="Times New Roman" w:cs="Times New Roman"/>
        </w:rPr>
        <w:t>8</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"_Toc154735775" </w:instrText>
      </w:r>
      <w:r>
        <w:fldChar w:fldCharType="separate"/>
      </w:r>
      <w:r>
        <w:rPr>
          <w:rStyle w:val="21"/>
          <w:rFonts w:ascii="Times New Roman" w:hAnsi="Times New Roman" w:cs="Times New Roman"/>
        </w:rPr>
        <w:t>3.8创新创业教育</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_Toc154735775 \h </w:instrText>
      </w:r>
      <w:r>
        <w:rPr>
          <w:rStyle w:val="21"/>
          <w:rFonts w:ascii="Times New Roman" w:hAnsi="Times New Roman" w:cs="Times New Roman"/>
        </w:rPr>
        <w:fldChar w:fldCharType="separate"/>
      </w:r>
      <w:r>
        <w:rPr>
          <w:rStyle w:val="21"/>
          <w:rFonts w:ascii="Times New Roman" w:hAnsi="Times New Roman" w:cs="Times New Roman"/>
        </w:rPr>
        <w:t>9</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"_Toc154735776" </w:instrText>
      </w:r>
      <w:r>
        <w:fldChar w:fldCharType="separate"/>
      </w:r>
      <w:r>
        <w:rPr>
          <w:rStyle w:val="21"/>
          <w:rFonts w:ascii="Times New Roman" w:hAnsi="Times New Roman" w:cs="Times New Roman"/>
        </w:rPr>
        <w:t>3.9学生毕业综合训练情况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_Toc154735776 \h </w:instrText>
      </w:r>
      <w:r>
        <w:rPr>
          <w:rStyle w:val="21"/>
          <w:rFonts w:ascii="Times New Roman" w:hAnsi="Times New Roman" w:cs="Times New Roman"/>
        </w:rPr>
        <w:fldChar w:fldCharType="separate"/>
      </w:r>
      <w:r>
        <w:rPr>
          <w:rStyle w:val="21"/>
          <w:rFonts w:ascii="Times New Roman" w:hAnsi="Times New Roman" w:cs="Times New Roman"/>
        </w:rPr>
        <w:t>10</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"_Toc154735777" </w:instrText>
      </w:r>
      <w:r>
        <w:fldChar w:fldCharType="separate"/>
      </w:r>
      <w:r>
        <w:rPr>
          <w:rStyle w:val="21"/>
          <w:rFonts w:ascii="Times New Roman" w:hAnsi="Times New Roman" w:cs="Times New Roman"/>
        </w:rPr>
        <w:t>3.10教学改革</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_Toc154735777 \h </w:instrText>
      </w:r>
      <w:r>
        <w:rPr>
          <w:rStyle w:val="21"/>
          <w:rFonts w:ascii="Times New Roman" w:hAnsi="Times New Roman" w:cs="Times New Roman"/>
        </w:rPr>
        <w:fldChar w:fldCharType="separate"/>
      </w:r>
      <w:r>
        <w:rPr>
          <w:rStyle w:val="21"/>
          <w:rFonts w:ascii="Times New Roman" w:hAnsi="Times New Roman" w:cs="Times New Roman"/>
        </w:rPr>
        <w:t>10</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16"/>
        <w:tabs>
          <w:tab w:val="right" w:leader="dot" w:pos="8296"/>
        </w:tabs>
        <w:adjustRightInd w:val="0"/>
        <w:snapToGrid w:val="0"/>
        <w:spacing w:line="360" w:lineRule="auto"/>
        <w:ind w:left="0" w:leftChars="0"/>
        <w:rPr>
          <w:rStyle w:val="21"/>
          <w:rFonts w:ascii="Times New Roman" w:hAnsi="Times New Roman" w:eastAsia="黑体" w:cs="Times New Roman"/>
          <w:b/>
          <w:bCs/>
          <w:sz w:val="28"/>
          <w:szCs w:val="28"/>
        </w:rPr>
      </w:pPr>
      <w:r>
        <w:fldChar w:fldCharType="begin"/>
      </w:r>
      <w:r>
        <w:instrText xml:space="preserve"> HYPERLINK \l "_Toc154735778" </w:instrText>
      </w:r>
      <w:r>
        <w:fldChar w:fldCharType="separate"/>
      </w:r>
      <w:r>
        <w:rPr>
          <w:rStyle w:val="21"/>
          <w:rFonts w:ascii="Times New Roman" w:hAnsi="Times New Roman" w:eastAsia="黑体" w:cs="Times New Roman"/>
          <w:b/>
          <w:bCs/>
          <w:sz w:val="28"/>
          <w:szCs w:val="28"/>
        </w:rPr>
        <w:t>4.教师队伍</w:t>
      </w:r>
      <w:r>
        <w:rPr>
          <w:rStyle w:val="21"/>
          <w:rFonts w:ascii="Times New Roman" w:hAnsi="Times New Roman" w:eastAsia="黑体" w:cs="Times New Roman"/>
          <w:b/>
          <w:bCs/>
          <w:sz w:val="28"/>
          <w:szCs w:val="28"/>
        </w:rPr>
        <w:tab/>
      </w:r>
      <w:r>
        <w:rPr>
          <w:rStyle w:val="21"/>
          <w:rFonts w:ascii="Times New Roman" w:hAnsi="Times New Roman" w:eastAsia="黑体" w:cs="Times New Roman"/>
          <w:b/>
          <w:bCs/>
          <w:sz w:val="28"/>
          <w:szCs w:val="28"/>
        </w:rPr>
        <w:fldChar w:fldCharType="begin"/>
      </w:r>
      <w:r>
        <w:rPr>
          <w:rStyle w:val="21"/>
          <w:rFonts w:ascii="Times New Roman" w:hAnsi="Times New Roman" w:eastAsia="黑体" w:cs="Times New Roman"/>
          <w:b/>
          <w:bCs/>
          <w:sz w:val="28"/>
          <w:szCs w:val="28"/>
        </w:rPr>
        <w:instrText xml:space="preserve"> PAGEREF _Toc154735778 \h </w:instrText>
      </w:r>
      <w:r>
        <w:rPr>
          <w:rStyle w:val="21"/>
          <w:rFonts w:ascii="Times New Roman" w:hAnsi="Times New Roman" w:eastAsia="黑体" w:cs="Times New Roman"/>
          <w:b/>
          <w:bCs/>
          <w:sz w:val="28"/>
          <w:szCs w:val="28"/>
        </w:rPr>
        <w:fldChar w:fldCharType="separate"/>
      </w:r>
      <w:r>
        <w:rPr>
          <w:rStyle w:val="21"/>
          <w:rFonts w:ascii="Times New Roman" w:hAnsi="Times New Roman" w:eastAsia="黑体" w:cs="Times New Roman"/>
          <w:b/>
          <w:bCs/>
          <w:sz w:val="28"/>
          <w:szCs w:val="28"/>
        </w:rPr>
        <w:t>12</w:t>
      </w:r>
      <w:r>
        <w:rPr>
          <w:rStyle w:val="21"/>
          <w:rFonts w:ascii="Times New Roman" w:hAnsi="Times New Roman" w:eastAsia="黑体" w:cs="Times New Roman"/>
          <w:b/>
          <w:bCs/>
          <w:sz w:val="28"/>
          <w:szCs w:val="28"/>
        </w:rPr>
        <w:fldChar w:fldCharType="end"/>
      </w:r>
      <w:r>
        <w:rPr>
          <w:rStyle w:val="21"/>
          <w:rFonts w:ascii="Times New Roman" w:hAnsi="Times New Roman" w:eastAsia="黑体" w:cs="Times New Roman"/>
          <w:b/>
          <w:bCs/>
          <w:sz w:val="28"/>
          <w:szCs w:val="28"/>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"_Toc154735779" </w:instrText>
      </w:r>
      <w:r>
        <w:fldChar w:fldCharType="separate"/>
      </w:r>
      <w:r>
        <w:rPr>
          <w:rStyle w:val="21"/>
          <w:rFonts w:ascii="Times New Roman" w:hAnsi="Times New Roman" w:cs="Times New Roman"/>
        </w:rPr>
        <w:t>4.1专业教师数量与结构</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_Toc154735779 \h </w:instrText>
      </w:r>
      <w:r>
        <w:rPr>
          <w:rStyle w:val="21"/>
          <w:rFonts w:ascii="Times New Roman" w:hAnsi="Times New Roman" w:cs="Times New Roman"/>
        </w:rPr>
        <w:fldChar w:fldCharType="separate"/>
      </w:r>
      <w:r>
        <w:rPr>
          <w:rStyle w:val="21"/>
          <w:rFonts w:ascii="Times New Roman" w:hAnsi="Times New Roman" w:cs="Times New Roman"/>
        </w:rPr>
        <w:t>12</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"_Toc154735780" </w:instrText>
      </w:r>
      <w:r>
        <w:fldChar w:fldCharType="separate"/>
      </w:r>
      <w:r>
        <w:rPr>
          <w:rStyle w:val="21"/>
          <w:rFonts w:ascii="Times New Roman" w:hAnsi="Times New Roman" w:cs="Times New Roman"/>
        </w:rPr>
        <w:t>4.2授课师资分析</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_Toc154735780 \h </w:instrText>
      </w:r>
      <w:r>
        <w:rPr>
          <w:rStyle w:val="21"/>
          <w:rFonts w:ascii="Times New Roman" w:hAnsi="Times New Roman" w:cs="Times New Roman"/>
        </w:rPr>
        <w:fldChar w:fldCharType="separate"/>
      </w:r>
      <w:r>
        <w:rPr>
          <w:rStyle w:val="21"/>
          <w:rFonts w:ascii="Times New Roman" w:hAnsi="Times New Roman" w:cs="Times New Roman"/>
        </w:rPr>
        <w:t>14</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"_Toc154735781" </w:instrText>
      </w:r>
      <w:r>
        <w:fldChar w:fldCharType="separate"/>
      </w:r>
      <w:r>
        <w:rPr>
          <w:rStyle w:val="21"/>
          <w:rFonts w:ascii="Times New Roman" w:hAnsi="Times New Roman" w:cs="Times New Roman"/>
        </w:rPr>
        <w:t>4.3教师教学科研情况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_Toc154735781 \h </w:instrText>
      </w:r>
      <w:r>
        <w:rPr>
          <w:rStyle w:val="21"/>
          <w:rFonts w:ascii="Times New Roman" w:hAnsi="Times New Roman" w:cs="Times New Roman"/>
        </w:rPr>
        <w:fldChar w:fldCharType="separate"/>
      </w:r>
      <w:r>
        <w:rPr>
          <w:rStyle w:val="21"/>
          <w:rFonts w:ascii="Times New Roman" w:hAnsi="Times New Roman" w:cs="Times New Roman"/>
        </w:rPr>
        <w:t>16</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16"/>
        <w:tabs>
          <w:tab w:val="right" w:leader="dot" w:pos="8296"/>
        </w:tabs>
        <w:adjustRightInd w:val="0"/>
        <w:snapToGrid w:val="0"/>
        <w:spacing w:line="360" w:lineRule="auto"/>
        <w:ind w:left="0" w:leftChars="0"/>
        <w:rPr>
          <w:rStyle w:val="21"/>
          <w:rFonts w:ascii="Times New Roman" w:hAnsi="Times New Roman" w:eastAsia="黑体" w:cs="Times New Roman"/>
          <w:b/>
          <w:bCs/>
          <w:sz w:val="28"/>
          <w:szCs w:val="28"/>
        </w:rPr>
      </w:pPr>
      <w:r>
        <w:fldChar w:fldCharType="begin"/>
      </w:r>
      <w:r>
        <w:instrText xml:space="preserve"> HYPERLINK \l "_Toc154735782" </w:instrText>
      </w:r>
      <w:r>
        <w:fldChar w:fldCharType="separate"/>
      </w:r>
      <w:r>
        <w:rPr>
          <w:rStyle w:val="21"/>
          <w:rFonts w:ascii="Times New Roman" w:hAnsi="Times New Roman" w:eastAsia="黑体" w:cs="Times New Roman"/>
          <w:b/>
          <w:bCs/>
          <w:sz w:val="28"/>
          <w:szCs w:val="28"/>
        </w:rPr>
        <w:t>5.支持条件</w:t>
      </w:r>
      <w:r>
        <w:rPr>
          <w:rStyle w:val="21"/>
          <w:rFonts w:ascii="Times New Roman" w:hAnsi="Times New Roman" w:eastAsia="黑体" w:cs="Times New Roman"/>
          <w:b/>
          <w:bCs/>
          <w:sz w:val="28"/>
          <w:szCs w:val="28"/>
        </w:rPr>
        <w:tab/>
      </w:r>
      <w:r>
        <w:rPr>
          <w:rStyle w:val="21"/>
          <w:rFonts w:hint="eastAsia" w:ascii="Times New Roman" w:hAnsi="Times New Roman" w:eastAsia="黑体" w:cs="Times New Roman"/>
          <w:b/>
          <w:bCs/>
          <w:sz w:val="28"/>
          <w:szCs w:val="28"/>
        </w:rPr>
        <w:t>23</w:t>
      </w:r>
      <w:r>
        <w:rPr>
          <w:rStyle w:val="21"/>
          <w:rFonts w:hint="eastAsia" w:ascii="Times New Roman" w:hAnsi="Times New Roman" w:eastAsia="黑体" w:cs="Times New Roman"/>
          <w:b/>
          <w:bCs/>
          <w:sz w:val="28"/>
          <w:szCs w:val="28"/>
        </w:rPr>
        <w:fldChar w:fldCharType="end"/>
      </w:r>
    </w:p>
    <w:p>
      <w:pPr>
        <w:pStyle w:val="9"/>
        <w:adjustRightInd w:val="0"/>
        <w:snapToGrid w:val="0"/>
        <w:ind w:left="566" w:leftChars="236"/>
        <w:rPr>
          <w:rStyle w:val="21"/>
          <w:rFonts w:ascii="Times New Roman" w:hAnsi="Times New Roman" w:cs="Times New Roman"/>
        </w:rPr>
      </w:pPr>
      <w:r>
        <w:rPr>
          <w:rFonts w:ascii="Times New Roman" w:hAnsi="Times New Roman" w:cs="Times New Roman"/>
        </w:rPr>
        <w:t>5.1学校生均教学经费情况</w:t>
      </w:r>
      <w:r>
        <w:rPr>
          <w:rFonts w:ascii="Times New Roman" w:hAnsi="Times New Roman" w:cs="Times New Roman"/>
        </w:rPr>
        <w:tab/>
      </w:r>
      <w:r>
        <w:rPr>
          <w:rFonts w:hint="eastAsia" w:ascii="Times New Roman" w:hAnsi="Times New Roman" w:cs="Times New Roman"/>
        </w:rPr>
        <w:t>23</w:t>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"_Toc154735784" </w:instrText>
      </w:r>
      <w:r>
        <w:fldChar w:fldCharType="separate"/>
      </w:r>
      <w:r>
        <w:rPr>
          <w:rStyle w:val="21"/>
          <w:rFonts w:ascii="Times New Roman" w:hAnsi="Times New Roman" w:cs="Times New Roman"/>
        </w:rPr>
        <w:t>5.2支撑专业实验教学校内场所情况</w:t>
      </w:r>
      <w:r>
        <w:rPr>
          <w:rStyle w:val="21"/>
          <w:rFonts w:ascii="Times New Roman" w:hAnsi="Times New Roman" w:cs="Times New Roman"/>
        </w:rPr>
        <w:tab/>
      </w:r>
      <w:r>
        <w:rPr>
          <w:rStyle w:val="21"/>
          <w:rFonts w:hint="eastAsia" w:ascii="Times New Roman" w:hAnsi="Times New Roman" w:cs="Times New Roman"/>
        </w:rPr>
        <w:t>23</w:t>
      </w:r>
      <w:r>
        <w:rPr>
          <w:rStyle w:val="21"/>
          <w:rFonts w:hint="eastAsia"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"_Toc154735785" </w:instrText>
      </w:r>
      <w:r>
        <w:fldChar w:fldCharType="separate"/>
      </w:r>
      <w:r>
        <w:rPr>
          <w:rStyle w:val="21"/>
          <w:rFonts w:ascii="Times New Roman" w:hAnsi="Times New Roman" w:cs="Times New Roman"/>
        </w:rPr>
        <w:t>5.3校外本科教学实习实训基地情况</w:t>
      </w:r>
      <w:r>
        <w:rPr>
          <w:rStyle w:val="21"/>
          <w:rFonts w:ascii="Times New Roman" w:hAnsi="Times New Roman" w:cs="Times New Roman"/>
        </w:rPr>
        <w:tab/>
      </w:r>
      <w:r>
        <w:rPr>
          <w:rStyle w:val="21"/>
          <w:rFonts w:hint="eastAsia" w:ascii="Times New Roman" w:hAnsi="Times New Roman" w:cs="Times New Roman"/>
        </w:rPr>
        <w:t>23</w:t>
      </w:r>
      <w:r>
        <w:rPr>
          <w:rStyle w:val="21"/>
          <w:rFonts w:hint="eastAsia" w:ascii="Times New Roman" w:hAnsi="Times New Roman" w:cs="Times New Roman"/>
        </w:rPr>
        <w:fldChar w:fldCharType="end"/>
      </w:r>
    </w:p>
    <w:p>
      <w:pPr>
        <w:pStyle w:val="16"/>
        <w:tabs>
          <w:tab w:val="right" w:leader="dot" w:pos="8296"/>
        </w:tabs>
        <w:adjustRightInd w:val="0"/>
        <w:snapToGrid w:val="0"/>
        <w:spacing w:line="360" w:lineRule="auto"/>
        <w:ind w:left="0" w:leftChars="0"/>
        <w:rPr>
          <w:rStyle w:val="21"/>
          <w:rFonts w:ascii="Times New Roman" w:hAnsi="Times New Roman" w:eastAsia="黑体" w:cs="Times New Roman"/>
          <w:b/>
          <w:bCs/>
          <w:sz w:val="28"/>
          <w:szCs w:val="28"/>
        </w:rPr>
      </w:pPr>
      <w:r>
        <w:fldChar w:fldCharType="begin"/>
      </w:r>
      <w:r>
        <w:instrText xml:space="preserve"> HYPERLINK \l "_Toc154735786" </w:instrText>
      </w:r>
      <w:r>
        <w:fldChar w:fldCharType="separate"/>
      </w:r>
      <w:r>
        <w:rPr>
          <w:rStyle w:val="21"/>
          <w:rFonts w:ascii="Times New Roman" w:hAnsi="Times New Roman" w:eastAsia="黑体" w:cs="Times New Roman"/>
          <w:b/>
          <w:bCs/>
          <w:sz w:val="28"/>
          <w:szCs w:val="28"/>
        </w:rPr>
        <w:t>6.质量保障</w:t>
      </w:r>
      <w:r>
        <w:rPr>
          <w:rStyle w:val="21"/>
          <w:rFonts w:ascii="Times New Roman" w:hAnsi="Times New Roman" w:eastAsia="黑体" w:cs="Times New Roman"/>
          <w:b/>
          <w:bCs/>
          <w:sz w:val="28"/>
          <w:szCs w:val="28"/>
        </w:rPr>
        <w:tab/>
      </w:r>
      <w:r>
        <w:rPr>
          <w:rStyle w:val="21"/>
          <w:rFonts w:hint="eastAsia" w:ascii="Times New Roman" w:hAnsi="Times New Roman" w:eastAsia="黑体" w:cs="Times New Roman"/>
          <w:b/>
          <w:bCs/>
          <w:sz w:val="28"/>
          <w:szCs w:val="28"/>
        </w:rPr>
        <w:t>24</w:t>
      </w:r>
      <w:r>
        <w:rPr>
          <w:rStyle w:val="21"/>
          <w:rFonts w:hint="eastAsia" w:ascii="Times New Roman" w:hAnsi="Times New Roman" w:eastAsia="黑体" w:cs="Times New Roman"/>
          <w:b/>
          <w:bCs/>
          <w:sz w:val="28"/>
          <w:szCs w:val="28"/>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"_Toc154735787" </w:instrText>
      </w:r>
      <w:r>
        <w:fldChar w:fldCharType="separate"/>
      </w:r>
      <w:r>
        <w:rPr>
          <w:rStyle w:val="21"/>
          <w:rFonts w:ascii="Times New Roman" w:hAnsi="Times New Roman" w:cs="Times New Roman"/>
        </w:rPr>
        <w:t>6.1质量保障体系</w:t>
      </w:r>
      <w:r>
        <w:rPr>
          <w:rStyle w:val="21"/>
          <w:rFonts w:ascii="Times New Roman" w:hAnsi="Times New Roman" w:cs="Times New Roman"/>
        </w:rPr>
        <w:tab/>
      </w:r>
      <w:r>
        <w:rPr>
          <w:rStyle w:val="21"/>
          <w:rFonts w:hint="eastAsia" w:ascii="Times New Roman" w:hAnsi="Times New Roman" w:cs="Times New Roman"/>
        </w:rPr>
        <w:t>24</w:t>
      </w:r>
      <w:r>
        <w:rPr>
          <w:rStyle w:val="21"/>
          <w:rFonts w:hint="eastAsia"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"_Toc154735788" </w:instrText>
      </w:r>
      <w:r>
        <w:fldChar w:fldCharType="separate"/>
      </w:r>
      <w:r>
        <w:rPr>
          <w:rStyle w:val="21"/>
          <w:rFonts w:ascii="Times New Roman" w:hAnsi="Times New Roman" w:cs="Times New Roman"/>
        </w:rPr>
        <w:t>6.2质量监控制度及实施办法</w:t>
      </w:r>
      <w:r>
        <w:rPr>
          <w:rStyle w:val="21"/>
          <w:rFonts w:ascii="Times New Roman" w:hAnsi="Times New Roman" w:cs="Times New Roman"/>
        </w:rPr>
        <w:tab/>
      </w:r>
      <w:r>
        <w:rPr>
          <w:rStyle w:val="21"/>
          <w:rFonts w:hint="eastAsia" w:ascii="Times New Roman" w:hAnsi="Times New Roman" w:cs="Times New Roman"/>
        </w:rPr>
        <w:t>25</w:t>
      </w:r>
      <w:r>
        <w:rPr>
          <w:rStyle w:val="21"/>
          <w:rFonts w:hint="eastAsia"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"_Toc154735789" </w:instrText>
      </w:r>
      <w:r>
        <w:fldChar w:fldCharType="separate"/>
      </w:r>
      <w:r>
        <w:rPr>
          <w:rStyle w:val="21"/>
          <w:rFonts w:ascii="Times New Roman" w:hAnsi="Times New Roman" w:cs="Times New Roman"/>
        </w:rPr>
        <w:t>6.3质量评估反馈及持续改进</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_Toc154735789 \h </w:instrText>
      </w:r>
      <w:r>
        <w:rPr>
          <w:rStyle w:val="21"/>
          <w:rFonts w:ascii="Times New Roman" w:hAnsi="Times New Roman" w:cs="Times New Roman"/>
        </w:rPr>
        <w:fldChar w:fldCharType="separate"/>
      </w:r>
      <w:r>
        <w:rPr>
          <w:rStyle w:val="21"/>
          <w:rFonts w:ascii="Times New Roman" w:hAnsi="Times New Roman" w:cs="Times New Roman"/>
        </w:rPr>
        <w:t>2</w:t>
      </w:r>
      <w:r>
        <w:rPr>
          <w:rStyle w:val="21"/>
          <w:rFonts w:hint="eastAsia" w:ascii="Times New Roman" w:hAnsi="Times New Roman" w:cs="Times New Roman"/>
        </w:rPr>
        <w:t>6</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"_Toc154735790" </w:instrText>
      </w:r>
      <w:r>
        <w:fldChar w:fldCharType="separate"/>
      </w:r>
      <w:r>
        <w:rPr>
          <w:rStyle w:val="21"/>
          <w:rFonts w:ascii="Times New Roman" w:hAnsi="Times New Roman" w:cs="Times New Roman"/>
        </w:rPr>
        <w:t>6.4在校生与毕业生满意度</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_Toc154735790 \h </w:instrText>
      </w:r>
      <w:r>
        <w:rPr>
          <w:rStyle w:val="21"/>
          <w:rFonts w:ascii="Times New Roman" w:hAnsi="Times New Roman" w:cs="Times New Roman"/>
        </w:rPr>
        <w:fldChar w:fldCharType="separate"/>
      </w:r>
      <w:r>
        <w:rPr>
          <w:rStyle w:val="21"/>
          <w:rFonts w:ascii="Times New Roman" w:hAnsi="Times New Roman" w:cs="Times New Roman"/>
        </w:rPr>
        <w:t>20</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16"/>
        <w:tabs>
          <w:tab w:val="right" w:leader="dot" w:pos="8296"/>
        </w:tabs>
        <w:adjustRightInd w:val="0"/>
        <w:snapToGrid w:val="0"/>
        <w:spacing w:line="360" w:lineRule="auto"/>
        <w:ind w:left="0" w:leftChars="0"/>
        <w:rPr>
          <w:rStyle w:val="21"/>
          <w:rFonts w:ascii="Times New Roman" w:hAnsi="Times New Roman" w:eastAsia="黑体" w:cs="Times New Roman"/>
          <w:b/>
          <w:bCs/>
          <w:sz w:val="28"/>
          <w:szCs w:val="28"/>
        </w:rPr>
      </w:pPr>
      <w:r>
        <w:fldChar w:fldCharType="begin"/>
      </w:r>
      <w:r>
        <w:instrText xml:space="preserve"> HYPERLINK \l "_Toc154735791" </w:instrText>
      </w:r>
      <w:r>
        <w:fldChar w:fldCharType="separate"/>
      </w:r>
      <w:r>
        <w:rPr>
          <w:rStyle w:val="21"/>
          <w:rFonts w:ascii="Times New Roman" w:hAnsi="Times New Roman" w:eastAsia="黑体" w:cs="Times New Roman"/>
          <w:b/>
          <w:bCs/>
          <w:sz w:val="28"/>
          <w:szCs w:val="28"/>
        </w:rPr>
        <w:t>7.学生发展</w:t>
      </w:r>
      <w:r>
        <w:rPr>
          <w:rStyle w:val="21"/>
          <w:rFonts w:ascii="Times New Roman" w:hAnsi="Times New Roman" w:eastAsia="黑体" w:cs="Times New Roman"/>
          <w:b/>
          <w:bCs/>
          <w:sz w:val="28"/>
          <w:szCs w:val="28"/>
        </w:rPr>
        <w:tab/>
      </w:r>
      <w:r>
        <w:rPr>
          <w:rStyle w:val="21"/>
          <w:rFonts w:ascii="Times New Roman" w:hAnsi="Times New Roman" w:eastAsia="黑体" w:cs="Times New Roman"/>
          <w:b/>
          <w:bCs/>
          <w:sz w:val="28"/>
          <w:szCs w:val="28"/>
        </w:rPr>
        <w:fldChar w:fldCharType="begin"/>
      </w:r>
      <w:r>
        <w:rPr>
          <w:rStyle w:val="21"/>
          <w:rFonts w:ascii="Times New Roman" w:hAnsi="Times New Roman" w:eastAsia="黑体" w:cs="Times New Roman"/>
          <w:b/>
          <w:bCs/>
          <w:sz w:val="28"/>
          <w:szCs w:val="28"/>
        </w:rPr>
        <w:instrText xml:space="preserve"> PAGEREF _Toc154735791 \h </w:instrText>
      </w:r>
      <w:r>
        <w:rPr>
          <w:rStyle w:val="21"/>
          <w:rFonts w:ascii="Times New Roman" w:hAnsi="Times New Roman" w:eastAsia="黑体" w:cs="Times New Roman"/>
          <w:b/>
          <w:bCs/>
          <w:sz w:val="28"/>
          <w:szCs w:val="28"/>
        </w:rPr>
        <w:fldChar w:fldCharType="separate"/>
      </w:r>
      <w:r>
        <w:rPr>
          <w:rStyle w:val="21"/>
          <w:rFonts w:ascii="Times New Roman" w:hAnsi="Times New Roman" w:eastAsia="黑体" w:cs="Times New Roman"/>
          <w:b/>
          <w:bCs/>
          <w:sz w:val="28"/>
          <w:szCs w:val="28"/>
        </w:rPr>
        <w:t>20</w:t>
      </w:r>
      <w:r>
        <w:rPr>
          <w:rStyle w:val="21"/>
          <w:rFonts w:ascii="Times New Roman" w:hAnsi="Times New Roman" w:eastAsia="黑体" w:cs="Times New Roman"/>
          <w:b/>
          <w:bCs/>
          <w:sz w:val="28"/>
          <w:szCs w:val="28"/>
        </w:rPr>
        <w:fldChar w:fldCharType="end"/>
      </w:r>
      <w:r>
        <w:rPr>
          <w:rStyle w:val="21"/>
          <w:rFonts w:ascii="Times New Roman" w:hAnsi="Times New Roman" w:eastAsia="黑体" w:cs="Times New Roman"/>
          <w:b/>
          <w:bCs/>
          <w:sz w:val="28"/>
          <w:szCs w:val="28"/>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"_Toc154735792" </w:instrText>
      </w:r>
      <w:r>
        <w:fldChar w:fldCharType="separate"/>
      </w:r>
      <w:r>
        <w:rPr>
          <w:rStyle w:val="21"/>
          <w:rFonts w:ascii="Times New Roman" w:hAnsi="Times New Roman" w:cs="Times New Roman"/>
        </w:rPr>
        <w:t>7.1本科在校生数量基本情况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_Toc154735792 \h </w:instrText>
      </w:r>
      <w:r>
        <w:rPr>
          <w:rStyle w:val="21"/>
          <w:rFonts w:ascii="Times New Roman" w:hAnsi="Times New Roman" w:cs="Times New Roman"/>
        </w:rPr>
        <w:fldChar w:fldCharType="separate"/>
      </w:r>
      <w:r>
        <w:rPr>
          <w:rStyle w:val="21"/>
          <w:rFonts w:ascii="Times New Roman" w:hAnsi="Times New Roman" w:cs="Times New Roman"/>
        </w:rPr>
        <w:t>2</w:t>
      </w:r>
      <w:r>
        <w:rPr>
          <w:rStyle w:val="21"/>
          <w:rFonts w:hint="eastAsia" w:ascii="Times New Roman" w:hAnsi="Times New Roman" w:cs="Times New Roman"/>
        </w:rPr>
        <w:t>7</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"_Toc154735793" </w:instrText>
      </w:r>
      <w:r>
        <w:fldChar w:fldCharType="separate"/>
      </w:r>
      <w:r>
        <w:rPr>
          <w:rStyle w:val="21"/>
          <w:rFonts w:ascii="Times New Roman" w:hAnsi="Times New Roman" w:cs="Times New Roman"/>
        </w:rPr>
        <w:t>7.2专业招生录取率和新生报到率</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_Toc154735793 \h </w:instrText>
      </w:r>
      <w:r>
        <w:rPr>
          <w:rStyle w:val="21"/>
          <w:rFonts w:ascii="Times New Roman" w:hAnsi="Times New Roman" w:cs="Times New Roman"/>
        </w:rPr>
        <w:fldChar w:fldCharType="separate"/>
      </w:r>
      <w:r>
        <w:rPr>
          <w:rStyle w:val="21"/>
          <w:rFonts w:ascii="Times New Roman" w:hAnsi="Times New Roman" w:cs="Times New Roman"/>
        </w:rPr>
        <w:t>2</w:t>
      </w:r>
      <w:r>
        <w:rPr>
          <w:rStyle w:val="21"/>
          <w:rFonts w:hint="eastAsia" w:ascii="Times New Roman" w:hAnsi="Times New Roman" w:cs="Times New Roman"/>
        </w:rPr>
        <w:t>7</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"_Toc154735794" </w:instrText>
      </w:r>
      <w:r>
        <w:fldChar w:fldCharType="separate"/>
      </w:r>
      <w:r>
        <w:rPr>
          <w:rStyle w:val="21"/>
          <w:rFonts w:ascii="Times New Roman" w:hAnsi="Times New Roman" w:cs="Times New Roman"/>
        </w:rPr>
        <w:t>7.3毕业生毕业率、学位授予率与去向落实率</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_Toc154735794 \h </w:instrText>
      </w:r>
      <w:r>
        <w:rPr>
          <w:rStyle w:val="21"/>
          <w:rFonts w:ascii="Times New Roman" w:hAnsi="Times New Roman" w:cs="Times New Roman"/>
        </w:rPr>
        <w:fldChar w:fldCharType="separate"/>
      </w:r>
      <w:r>
        <w:rPr>
          <w:rStyle w:val="21"/>
          <w:rFonts w:ascii="Times New Roman" w:hAnsi="Times New Roman" w:cs="Times New Roman"/>
        </w:rPr>
        <w:t>2</w:t>
      </w:r>
      <w:r>
        <w:rPr>
          <w:rStyle w:val="21"/>
          <w:rFonts w:hint="eastAsia" w:ascii="Times New Roman" w:hAnsi="Times New Roman" w:cs="Times New Roman"/>
        </w:rPr>
        <w:t>8</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9"/>
        <w:adjustRightInd w:val="0"/>
        <w:snapToGrid w:val="0"/>
        <w:ind w:left="566" w:leftChars="236"/>
        <w:rPr>
          <w:rStyle w:val="21"/>
          <w:rFonts w:ascii="Times New Roman" w:hAnsi="Times New Roman" w:cs="Times New Roman"/>
        </w:rPr>
      </w:pPr>
      <w:r>
        <w:fldChar w:fldCharType="begin"/>
      </w:r>
      <w:r>
        <w:instrText xml:space="preserve"> HYPERLINK \l "_Toc154735795" </w:instrText>
      </w:r>
      <w:r>
        <w:fldChar w:fldCharType="separate"/>
      </w:r>
      <w:r>
        <w:rPr>
          <w:rStyle w:val="21"/>
          <w:rFonts w:ascii="Times New Roman" w:hAnsi="Times New Roman" w:cs="Times New Roman"/>
        </w:rPr>
        <w:t>7.4学风建设情况</w:t>
      </w:r>
      <w:r>
        <w:rPr>
          <w:rStyle w:val="21"/>
          <w:rFonts w:ascii="Times New Roman" w:hAnsi="Times New Roman" w:cs="Times New Roman"/>
        </w:rPr>
        <w:tab/>
      </w:r>
      <w:r>
        <w:rPr>
          <w:rStyle w:val="21"/>
          <w:rFonts w:ascii="Times New Roman" w:hAnsi="Times New Roman" w:cs="Times New Roman"/>
        </w:rPr>
        <w:fldChar w:fldCharType="begin"/>
      </w:r>
      <w:r>
        <w:rPr>
          <w:rStyle w:val="21"/>
          <w:rFonts w:ascii="Times New Roman" w:hAnsi="Times New Roman" w:cs="Times New Roman"/>
        </w:rPr>
        <w:instrText xml:space="preserve"> PAGEREF _Toc154735795 \h </w:instrText>
      </w:r>
      <w:r>
        <w:rPr>
          <w:rStyle w:val="21"/>
          <w:rFonts w:ascii="Times New Roman" w:hAnsi="Times New Roman" w:cs="Times New Roman"/>
        </w:rPr>
        <w:fldChar w:fldCharType="separate"/>
      </w:r>
      <w:r>
        <w:rPr>
          <w:rStyle w:val="21"/>
          <w:rFonts w:ascii="Times New Roman" w:hAnsi="Times New Roman" w:cs="Times New Roman"/>
        </w:rPr>
        <w:t>2</w:t>
      </w:r>
      <w:r>
        <w:rPr>
          <w:rStyle w:val="21"/>
          <w:rFonts w:hint="eastAsia" w:ascii="Times New Roman" w:hAnsi="Times New Roman" w:cs="Times New Roman"/>
        </w:rPr>
        <w:t>8</w:t>
      </w:r>
      <w:r>
        <w:rPr>
          <w:rStyle w:val="21"/>
          <w:rFonts w:ascii="Times New Roman" w:hAnsi="Times New Roman" w:cs="Times New Roman"/>
        </w:rPr>
        <w:fldChar w:fldCharType="end"/>
      </w:r>
      <w:r>
        <w:rPr>
          <w:rStyle w:val="21"/>
          <w:rFonts w:ascii="Times New Roman" w:hAnsi="Times New Roman" w:cs="Times New Roman"/>
        </w:rPr>
        <w:fldChar w:fldCharType="end"/>
      </w:r>
    </w:p>
    <w:p>
      <w:pPr>
        <w:pStyle w:val="16"/>
        <w:tabs>
          <w:tab w:val="right" w:leader="dot" w:pos="8296"/>
        </w:tabs>
        <w:adjustRightInd w:val="0"/>
        <w:snapToGrid w:val="0"/>
        <w:spacing w:line="360" w:lineRule="auto"/>
        <w:ind w:left="0" w:leftChars="0"/>
        <w:rPr>
          <w:rStyle w:val="21"/>
          <w:rFonts w:ascii="Times New Roman" w:hAnsi="Times New Roman" w:eastAsia="黑体" w:cs="Times New Roman"/>
          <w:b/>
          <w:bCs/>
          <w:sz w:val="28"/>
          <w:szCs w:val="28"/>
        </w:rPr>
      </w:pPr>
      <w:r>
        <w:fldChar w:fldCharType="begin"/>
      </w:r>
      <w:r>
        <w:instrText xml:space="preserve"> HYPERLINK \l "_Toc154735796" </w:instrText>
      </w:r>
      <w:r>
        <w:fldChar w:fldCharType="separate"/>
      </w:r>
      <w:r>
        <w:rPr>
          <w:rStyle w:val="21"/>
          <w:rFonts w:ascii="Times New Roman" w:hAnsi="Times New Roman" w:eastAsia="黑体" w:cs="Times New Roman"/>
          <w:b/>
          <w:bCs/>
          <w:sz w:val="28"/>
          <w:szCs w:val="28"/>
        </w:rPr>
        <w:t>8.特色发展与案例</w:t>
      </w:r>
      <w:r>
        <w:rPr>
          <w:rStyle w:val="21"/>
          <w:rFonts w:ascii="Times New Roman" w:hAnsi="Times New Roman" w:eastAsia="黑体" w:cs="Times New Roman"/>
          <w:b/>
          <w:bCs/>
          <w:sz w:val="28"/>
          <w:szCs w:val="28"/>
        </w:rPr>
        <w:tab/>
      </w:r>
      <w:r>
        <w:rPr>
          <w:rStyle w:val="21"/>
          <w:rFonts w:ascii="Times New Roman" w:hAnsi="Times New Roman" w:eastAsia="黑体" w:cs="Times New Roman"/>
          <w:b/>
          <w:bCs/>
          <w:sz w:val="28"/>
          <w:szCs w:val="28"/>
        </w:rPr>
        <w:fldChar w:fldCharType="begin"/>
      </w:r>
      <w:r>
        <w:rPr>
          <w:rStyle w:val="21"/>
          <w:rFonts w:ascii="Times New Roman" w:hAnsi="Times New Roman" w:eastAsia="黑体" w:cs="Times New Roman"/>
          <w:b/>
          <w:bCs/>
          <w:sz w:val="28"/>
          <w:szCs w:val="28"/>
        </w:rPr>
        <w:instrText xml:space="preserve"> PAGEREF _Toc154735796 \h </w:instrText>
      </w:r>
      <w:r>
        <w:rPr>
          <w:rStyle w:val="21"/>
          <w:rFonts w:ascii="Times New Roman" w:hAnsi="Times New Roman" w:eastAsia="黑体" w:cs="Times New Roman"/>
          <w:b/>
          <w:bCs/>
          <w:sz w:val="28"/>
          <w:szCs w:val="28"/>
        </w:rPr>
        <w:fldChar w:fldCharType="separate"/>
      </w:r>
      <w:r>
        <w:rPr>
          <w:rStyle w:val="21"/>
          <w:rFonts w:ascii="Times New Roman" w:hAnsi="Times New Roman" w:eastAsia="黑体" w:cs="Times New Roman"/>
          <w:b/>
          <w:bCs/>
          <w:sz w:val="28"/>
          <w:szCs w:val="28"/>
        </w:rPr>
        <w:t>2</w:t>
      </w:r>
      <w:r>
        <w:rPr>
          <w:rStyle w:val="21"/>
          <w:rFonts w:hint="eastAsia" w:ascii="Times New Roman" w:hAnsi="Times New Roman" w:eastAsia="黑体" w:cs="Times New Roman"/>
          <w:b/>
          <w:bCs/>
          <w:sz w:val="28"/>
          <w:szCs w:val="28"/>
        </w:rPr>
        <w:t>9</w:t>
      </w:r>
      <w:r>
        <w:rPr>
          <w:rStyle w:val="21"/>
          <w:rFonts w:ascii="Times New Roman" w:hAnsi="Times New Roman" w:eastAsia="黑体" w:cs="Times New Roman"/>
          <w:b/>
          <w:bCs/>
          <w:sz w:val="28"/>
          <w:szCs w:val="28"/>
        </w:rPr>
        <w:fldChar w:fldCharType="end"/>
      </w:r>
      <w:r>
        <w:rPr>
          <w:rStyle w:val="21"/>
          <w:rFonts w:ascii="Times New Roman" w:hAnsi="Times New Roman" w:eastAsia="黑体" w:cs="Times New Roman"/>
          <w:b/>
          <w:bCs/>
          <w:sz w:val="28"/>
          <w:szCs w:val="28"/>
        </w:rPr>
        <w:fldChar w:fldCharType="end"/>
      </w:r>
    </w:p>
    <w:p>
      <w:pPr>
        <w:pStyle w:val="16"/>
        <w:tabs>
          <w:tab w:val="right" w:leader="dot" w:pos="8296"/>
        </w:tabs>
        <w:adjustRightInd w:val="0"/>
        <w:snapToGrid w:val="0"/>
        <w:spacing w:line="360" w:lineRule="auto"/>
        <w:ind w:left="0" w:leftChars="0"/>
        <w:rPr>
          <w:rStyle w:val="21"/>
          <w:rFonts w:ascii="Times New Roman" w:hAnsi="Times New Roman" w:eastAsia="黑体" w:cs="Times New Roman"/>
          <w:b/>
          <w:bCs/>
          <w:sz w:val="28"/>
          <w:szCs w:val="28"/>
        </w:rPr>
      </w:pPr>
      <w:r>
        <w:fldChar w:fldCharType="begin"/>
      </w:r>
      <w:r>
        <w:instrText xml:space="preserve"> HYPERLINK \l "_Toc154735797" </w:instrText>
      </w:r>
      <w:r>
        <w:fldChar w:fldCharType="separate"/>
      </w:r>
      <w:r>
        <w:rPr>
          <w:rStyle w:val="21"/>
          <w:rFonts w:ascii="Times New Roman" w:hAnsi="Times New Roman" w:eastAsia="黑体" w:cs="Times New Roman"/>
          <w:b/>
          <w:bCs/>
          <w:sz w:val="28"/>
          <w:szCs w:val="28"/>
        </w:rPr>
        <w:t>9.问题与对策</w:t>
      </w:r>
      <w:r>
        <w:rPr>
          <w:rStyle w:val="21"/>
          <w:rFonts w:ascii="Times New Roman" w:hAnsi="Times New Roman" w:eastAsia="黑体" w:cs="Times New Roman"/>
          <w:b/>
          <w:bCs/>
          <w:sz w:val="28"/>
          <w:szCs w:val="28"/>
        </w:rPr>
        <w:tab/>
      </w:r>
      <w:r>
        <w:rPr>
          <w:rStyle w:val="21"/>
          <w:rFonts w:hint="eastAsia" w:ascii="Times New Roman" w:hAnsi="Times New Roman" w:eastAsia="黑体" w:cs="Times New Roman"/>
          <w:b/>
          <w:bCs/>
          <w:sz w:val="28"/>
          <w:szCs w:val="28"/>
        </w:rPr>
        <w:t>31</w:t>
      </w:r>
      <w:r>
        <w:rPr>
          <w:rStyle w:val="21"/>
          <w:rFonts w:hint="eastAsia" w:ascii="Times New Roman" w:hAnsi="Times New Roman" w:eastAsia="黑体" w:cs="Times New Roman"/>
          <w:b/>
          <w:bCs/>
          <w:sz w:val="28"/>
          <w:szCs w:val="28"/>
        </w:rPr>
        <w:fldChar w:fldCharType="end"/>
      </w:r>
    </w:p>
    <w:p>
      <w:pPr>
        <w:pStyle w:val="24"/>
        <w:spacing w:before="98" w:beforeAutospacing="0" w:after="0" w:afterAutospacing="0"/>
        <w:ind w:left="597" w:right="231"/>
        <w:jc w:val="center"/>
      </w:pPr>
      <w:r>
        <w:rPr>
          <w:rFonts w:ascii="Times New Roman" w:hAnsi="Times New Roman" w:cs="Times New Roman"/>
        </w:rPr>
        <w:fldChar w:fldCharType="end"/>
      </w:r>
    </w:p>
    <w:p>
      <w:r>
        <w:br w:type="page"/>
      </w:r>
    </w:p>
    <w:p>
      <w:pPr>
        <w:pStyle w:val="3"/>
        <w:jc w:val="center"/>
        <w:rPr>
          <w:rFonts w:ascii="宋体" w:hAnsi="宋体"/>
        </w:rPr>
      </w:pPr>
      <w:bookmarkStart w:id="1" w:name="_Toc128820648"/>
      <w:bookmarkStart w:id="2" w:name="_Toc154735762"/>
      <w:r>
        <w:rPr>
          <w:rFonts w:hint="eastAsia" w:ascii="宋体" w:hAnsi="宋体"/>
        </w:rPr>
        <w:t>说</w:t>
      </w:r>
      <w:r>
        <w:rPr>
          <w:rFonts w:ascii="宋体" w:hAnsi="宋体"/>
        </w:rPr>
        <w:tab/>
      </w:r>
      <w:r>
        <w:rPr>
          <w:rFonts w:ascii="宋体" w:hAnsi="宋体"/>
        </w:rPr>
        <w:t>明</w:t>
      </w:r>
      <w:bookmarkEnd w:id="1"/>
      <w:bookmarkEnd w:id="2"/>
      <w:r>
        <w:rPr>
          <w:rFonts w:ascii="宋体" w:hAnsi="宋体"/>
        </w:rPr>
        <w:t xml:space="preserve">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 xml:space="preserve">除特殊说明外，本报告所有的数据资料均来自于高等教育质量监测国家数据平台，涉及专业概况、学生发展、培养目标和毕业要求、课程体系、教师队伍、支持条件和质量保障七个方面的相关信息，供专家组了解情况、分析判断、考查评估使用。 </w:t>
      </w:r>
    </w:p>
    <w:p>
      <w:pPr>
        <w:widowControl w:val="0"/>
        <w:ind w:firstLine="420"/>
        <w:rPr>
          <w:rFonts w:ascii="仿宋" w:hAnsi="仿宋" w:eastAsia="仿宋" w:cstheme="minorBidi"/>
          <w:kern w:val="2"/>
          <w:sz w:val="28"/>
          <w:szCs w:val="28"/>
        </w:rPr>
      </w:pPr>
      <w:r>
        <w:rPr>
          <w:rFonts w:ascii="仿宋" w:hAnsi="仿宋" w:eastAsia="仿宋" w:cstheme="minorBidi"/>
          <w:kern w:val="2"/>
          <w:sz w:val="28"/>
          <w:szCs w:val="28"/>
        </w:rPr>
        <w:t>报告中财务和科研数据的统计时点为--年自然年（即--</w:t>
      </w:r>
      <w:r>
        <w:rPr>
          <w:rFonts w:hint="eastAsia" w:ascii="仿宋" w:hAnsi="仿宋" w:eastAsia="仿宋" w:cstheme="minorBidi"/>
          <w:kern w:val="2"/>
          <w:sz w:val="28"/>
          <w:szCs w:val="28"/>
        </w:rPr>
        <w:t>年</w:t>
      </w:r>
      <w:r>
        <w:rPr>
          <w:rFonts w:ascii="仿宋" w:hAnsi="仿宋" w:eastAsia="仿宋" w:cstheme="minorBidi"/>
          <w:kern w:val="2"/>
          <w:sz w:val="28"/>
          <w:szCs w:val="28"/>
        </w:rPr>
        <w:t>1月1日至12月31日），教学等其他数据统计时点为--</w:t>
      </w:r>
      <w:r>
        <w:rPr>
          <w:rFonts w:hint="eastAsia" w:ascii="仿宋" w:hAnsi="仿宋" w:eastAsia="仿宋" w:cstheme="minorBidi"/>
          <w:kern w:val="2"/>
          <w:sz w:val="28"/>
          <w:szCs w:val="28"/>
        </w:rPr>
        <w:t>学年（即</w:t>
      </w:r>
      <w:r>
        <w:rPr>
          <w:rFonts w:ascii="仿宋" w:hAnsi="仿宋" w:eastAsia="仿宋" w:cstheme="minorBidi"/>
          <w:kern w:val="2"/>
          <w:sz w:val="28"/>
          <w:szCs w:val="28"/>
        </w:rPr>
        <w:t xml:space="preserve"> --年 9 月 1 日至 --年 8 月 31 日）。</w:t>
      </w:r>
    </w:p>
    <w:p>
      <w:pPr>
        <w:rPr>
          <w:rFonts w:ascii="仿宋" w:hAnsi="仿宋" w:eastAsia="仿宋" w:cstheme="minorBidi"/>
          <w:kern w:val="2"/>
          <w:sz w:val="28"/>
          <w:szCs w:val="28"/>
        </w:rPr>
        <w:sectPr>
          <w:footerReference r:id="rId3" w:type="default"/>
          <w:pgSz w:w="11906" w:h="16838"/>
          <w:pgMar w:top="1440" w:right="1800" w:bottom="1440" w:left="1800" w:header="720" w:footer="720" w:gutter="0"/>
          <w:cols w:space="720" w:num="1"/>
          <w:docGrid w:type="lines" w:linePitch="312" w:charSpace="0"/>
        </w:sectPr>
      </w:pPr>
      <w:r>
        <w:rPr>
          <w:rFonts w:ascii="仿宋" w:hAnsi="仿宋" w:eastAsia="仿宋" w:cstheme="minorBidi"/>
          <w:kern w:val="2"/>
          <w:sz w:val="28"/>
          <w:szCs w:val="28"/>
        </w:rPr>
        <w:br w:type="page"/>
      </w:r>
    </w:p>
    <w:p>
      <w:pPr>
        <w:pStyle w:val="3"/>
        <w:pageBreakBefore/>
        <w:numPr>
          <w:ilvl w:val="0"/>
          <w:numId w:val="1"/>
        </w:numPr>
        <w:spacing w:after="120" w:line="415" w:lineRule="auto"/>
        <w:jc w:val="left"/>
        <w:rPr>
          <w:rFonts w:ascii="宋体" w:hAnsi="宋体"/>
          <w:sz w:val="28"/>
          <w:szCs w:val="28"/>
        </w:rPr>
      </w:pPr>
      <w:bookmarkStart w:id="3" w:name="_Toc154735763"/>
      <w:r>
        <w:rPr>
          <w:rFonts w:hint="eastAsia" w:ascii="宋体" w:hAnsi="宋体"/>
          <w:sz w:val="28"/>
          <w:szCs w:val="28"/>
        </w:rPr>
        <w:t>专业概况</w:t>
      </w:r>
      <w:bookmarkEnd w:id="3"/>
    </w:p>
    <w:p>
      <w:pPr>
        <w:pStyle w:val="4"/>
        <w:rPr>
          <w:rFonts w:ascii="宋体" w:hAnsi="宋体" w:eastAsia="宋体"/>
          <w:b w:val="0"/>
          <w:bCs w:val="0"/>
          <w:sz w:val="24"/>
          <w:szCs w:val="24"/>
        </w:rPr>
      </w:pPr>
      <w:bookmarkStart w:id="4" w:name="_Toc154735764"/>
      <w:r>
        <w:rPr>
          <w:rFonts w:hint="eastAsia" w:ascii="宋体" w:hAnsi="宋体" w:eastAsia="宋体"/>
          <w:b w:val="0"/>
          <w:bCs w:val="0"/>
          <w:sz w:val="24"/>
          <w:szCs w:val="24"/>
        </w:rPr>
        <w:t>1</w:t>
      </w:r>
      <w:r>
        <w:rPr>
          <w:rFonts w:ascii="宋体" w:hAnsi="宋体" w:eastAsia="宋体"/>
          <w:b w:val="0"/>
          <w:bCs w:val="0"/>
          <w:sz w:val="24"/>
          <w:szCs w:val="24"/>
        </w:rPr>
        <w:t>.1</w:t>
      </w:r>
      <w:r>
        <w:rPr>
          <w:rFonts w:hint="eastAsia" w:ascii="宋体" w:hAnsi="宋体" w:eastAsia="宋体"/>
          <w:b w:val="0"/>
          <w:bCs w:val="0"/>
          <w:sz w:val="24"/>
          <w:szCs w:val="24"/>
        </w:rPr>
        <w:t>专业设置情况</w:t>
      </w:r>
      <w:bookmarkEnd w:id="4"/>
    </w:p>
    <w:p>
      <w:pPr>
        <w:shd w:val="clear" w:color="auto" w:fill="FFFFFF"/>
        <w:spacing w:line="360" w:lineRule="auto"/>
        <w:ind w:firstLine="360"/>
        <w:rPr>
          <w:rFonts w:ascii="Times New Roman" w:hAnsi="Times New Roman" w:eastAsia="仿宋_GB2312" w:cs="Times New Roman"/>
          <w:color w:val="333333"/>
        </w:rPr>
      </w:pPr>
      <w:r>
        <w:rPr>
          <w:rFonts w:ascii="Times New Roman" w:hAnsi="Times New Roman" w:eastAsia="仿宋_GB2312" w:cs="Times New Roman"/>
          <w:color w:val="333333"/>
        </w:rPr>
        <w:t>2019年10月，教育部办公厅等七部门《关于教育支持社会服务产业发展 提高紧缺人才培养培训质量的意见》（教职成厅〔2019〕3号）鼓励引导普通本科高校设置家政学、老年医学、护理学等相关专业，原则上每个省份至少有1所本科高校开设家政服务、养老服务、托育服务相关专业。意见提出的目标是，到2022年，教育支持社会服务产业发展的能力有效增强，紧缺领域相关学科专业体系进一步完善，为社会服务产业紧缺领域培养和输送一大批层次结构合理、类型齐全、具有较高职业素养和专业能力的高素质人才。</w:t>
      </w:r>
    </w:p>
    <w:p>
      <w:pPr>
        <w:shd w:val="clear" w:color="auto" w:fill="FFFFFF"/>
        <w:spacing w:line="360" w:lineRule="auto"/>
        <w:ind w:firstLine="357"/>
        <w:rPr>
          <w:rFonts w:ascii="Times New Roman" w:hAnsi="Times New Roman" w:eastAsia="仿宋_GB2312" w:cs="Times New Roman"/>
          <w:color w:val="333333"/>
        </w:rPr>
      </w:pPr>
      <w:r>
        <w:rPr>
          <w:rFonts w:ascii="Times New Roman" w:hAnsi="Times New Roman" w:eastAsia="仿宋_GB2312" w:cs="Times New Roman"/>
          <w:color w:val="333333"/>
        </w:rPr>
        <w:t>2020年2月28日，在国务院联防联控机制举行的新闻发布会上，养老服务管理与临床医学、公共卫生、集成电路、人工智能等专业被“点名”。教育部副部长翁铁慧表示，“这些领域都是非常缺人才的，这些专业今后一段时间社会需求比较旺盛”，“几年后就业不成问题”。</w:t>
      </w:r>
    </w:p>
    <w:p>
      <w:pPr>
        <w:shd w:val="clear" w:color="auto" w:fill="FFFFFF"/>
        <w:spacing w:line="360" w:lineRule="auto"/>
        <w:ind w:firstLine="357"/>
        <w:rPr>
          <w:rFonts w:ascii="Times New Roman" w:hAnsi="Times New Roman" w:eastAsia="仿宋_GB2312" w:cs="Times New Roman"/>
          <w:color w:val="333333"/>
        </w:rPr>
      </w:pPr>
      <w:r>
        <w:rPr>
          <w:rFonts w:ascii="Times New Roman" w:hAnsi="Times New Roman" w:eastAsia="仿宋_GB2312" w:cs="Times New Roman"/>
          <w:color w:val="333333"/>
        </w:rPr>
        <w:t>2020年3月，教育部印发《关于公布2019年度普通高等学校本科专业备案和审批结果的通知》，我校“养老服务管理”本科专业获批。</w:t>
      </w:r>
    </w:p>
    <w:p>
      <w:pPr>
        <w:shd w:val="clear" w:color="auto" w:fill="FFFFFF"/>
        <w:spacing w:line="360" w:lineRule="auto"/>
        <w:ind w:firstLine="360"/>
        <w:rPr>
          <w:rFonts w:ascii="Times New Roman" w:hAnsi="Times New Roman" w:eastAsia="仿宋_GB2312" w:cs="Times New Roman"/>
          <w:color w:val="333333"/>
        </w:rPr>
      </w:pPr>
      <w:r>
        <w:rPr>
          <w:rFonts w:ascii="Times New Roman" w:hAnsi="Times New Roman" w:eastAsia="仿宋_GB2312" w:cs="Times New Roman"/>
          <w:color w:val="333333"/>
        </w:rPr>
        <w:t>我校养老服务管理专业对接上海卓越全球城市需求，立足上海养老服务事业发展需要，培养具有老年服务和管理必备的基础理论知识和专业知识，具备从事养老服务管理实际工作的基本能力和基本技能，具有创新和实践精神、良好的职业道德和健全体魄的高素质应用型人才。在人才培养方面，注重基础建设和内涵积累并举，坚持以服务为宗旨，以就业为导向，着力培养一支数量充足、结构合理、质量较好的养老服务管理人才队伍。</w:t>
      </w:r>
    </w:p>
    <w:p>
      <w:pPr>
        <w:rPr>
          <w:rFonts w:ascii="Times New Roman" w:hAnsi="Times New Roman" w:cs="Times New Roman"/>
        </w:rPr>
      </w:pPr>
    </w:p>
    <w:tbl>
      <w:tblPr>
        <w:tblStyle w:val="1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6"/>
        <w:gridCol w:w="4424"/>
        <w:gridCol w:w="2410"/>
      </w:tblGrid>
      <w:tr>
        <w:trPr>
          <w:trHeight w:val="390" w:hRule="atLeast"/>
          <w:jc w:val="center"/>
        </w:trPr>
        <w:tc>
          <w:tcPr>
            <w:tcW w:w="5780"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ind w:left="2659" w:right="2650"/>
              <w:jc w:val="center"/>
              <w:rPr>
                <w:sz w:val="21"/>
                <w:szCs w:val="21"/>
              </w:rPr>
            </w:pPr>
            <w:r>
              <w:rPr>
                <w:rFonts w:hint="eastAsia"/>
                <w:sz w:val="21"/>
                <w:szCs w:val="21"/>
              </w:rPr>
              <w:t>项目</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rPr>
                <w:sz w:val="21"/>
                <w:szCs w:val="21"/>
              </w:rPr>
            </w:pPr>
            <w:r>
              <w:rPr>
                <w:rFonts w:hint="eastAsia"/>
                <w:sz w:val="21"/>
                <w:szCs w:val="21"/>
              </w:rPr>
              <w:t>学校情况</w:t>
            </w:r>
          </w:p>
        </w:tc>
      </w:tr>
      <w:tr>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pPr>
            <w:r>
              <w:rPr>
                <w:rFonts w:hint="eastAsia"/>
                <w:sz w:val="21"/>
                <w:szCs w:val="22"/>
              </w:rPr>
              <w:t>专业基本信息</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专业代码</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120414T</w:t>
            </w:r>
            <w:bookmarkStart w:id="5" w:name="OLE_LINK2"/>
            <w:bookmarkEnd w:id="5"/>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养老服务管理</w:t>
            </w:r>
            <w:bookmarkStart w:id="6" w:name="OLE_LINK3"/>
            <w:bookmarkEnd w:id="6"/>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所属单位名称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管理学院</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专业设置年份</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2019</w:t>
            </w:r>
            <w:bookmarkStart w:id="7" w:name="OLE_LINK4"/>
            <w:bookmarkEnd w:id="7"/>
          </w:p>
        </w:tc>
      </w:tr>
      <w:tr>
        <w:trPr>
          <w:trHeight w:val="369"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8" w:name="OLE_LINK5"/>
            <w:r>
              <w:rPr>
                <w:rFonts w:hint="eastAsia"/>
                <w:sz w:val="21"/>
                <w:szCs w:val="22"/>
              </w:rPr>
              <w:t>优势专业类型</w:t>
            </w:r>
            <w:bookmarkEnd w:id="8"/>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学制</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4</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9" w:name="OLE_LINK6"/>
            <w:r>
              <w:rPr>
                <w:rFonts w:hint="eastAsia"/>
                <w:sz w:val="21"/>
                <w:szCs w:val="22"/>
              </w:rPr>
              <w:t>允许修业年限</w:t>
            </w:r>
            <w:bookmarkEnd w:id="9"/>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6</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bookmarkStart w:id="10" w:name="OLE_LINK7"/>
            <w:r>
              <w:rPr>
                <w:rFonts w:hint="eastAsia"/>
                <w:sz w:val="21"/>
                <w:szCs w:val="22"/>
              </w:rPr>
              <w:t>授予学位门类</w:t>
            </w:r>
            <w:bookmarkEnd w:id="10"/>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管理学</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在校本科学生数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152</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当年计划招生数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40</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10</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专业课授课校内教师数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103</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外聘授课教师数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0</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应届本科毕业生去向落实率</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0</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学校生师比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17.95</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专业教师与本科生之比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15.2</w:t>
            </w:r>
          </w:p>
        </w:tc>
      </w:tr>
      <w:tr>
        <w:trPr>
          <w:trHeight w:val="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专业课授课教师（本学院）与本科生之比</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2.38</w:t>
            </w:r>
          </w:p>
        </w:tc>
      </w:tr>
      <w:tr>
        <w:trPr>
          <w:trHeight w:val="393" w:hRule="atLeast"/>
          <w:jc w:val="center"/>
        </w:trPr>
        <w:tc>
          <w:tcPr>
            <w:tcW w:w="1356"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pPr>
            <w:r>
              <w:rPr>
                <w:rFonts w:hint="eastAsia"/>
                <w:sz w:val="21"/>
                <w:szCs w:val="22"/>
              </w:rPr>
              <w:t>专业负责人</w:t>
            </w: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史健勇</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是否外聘</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否</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专业技术职称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教授</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最高学位</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博士</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学历</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博士研究生</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是否双师型</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否</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是否行业背景</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否</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导师类别</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sz w:val="21"/>
                <w:szCs w:val="22"/>
              </w:rPr>
              <w:t>/</w:t>
            </w: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校内指导博士生数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p>
        </w:tc>
      </w:tr>
      <w:tr>
        <w:trPr>
          <w:trHeight w:val="391"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校内指导硕士生数</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p>
        </w:tc>
      </w:tr>
      <w:tr>
        <w:trPr>
          <w:trHeight w:val="393"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承担专业教学课程（门）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rFonts w:ascii="Segoe UI" w:hAnsi="Segoe UI" w:cs="Segoe UI"/>
                <w:sz w:val="21"/>
                <w:szCs w:val="21"/>
              </w:rPr>
              <w:t>1</w:t>
            </w:r>
          </w:p>
        </w:tc>
      </w:tr>
      <w:tr>
        <w:trPr>
          <w:trHeight w:val="390" w:hRule="atLeast"/>
          <w:jc w:val="center"/>
        </w:trPr>
        <w:tc>
          <w:tcPr>
            <w:tcW w:w="1356"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4424" w:type="dxa"/>
            <w:tcBorders>
              <w:top w:val="single" w:color="000000" w:sz="4" w:space="0"/>
              <w:left w:val="single" w:color="000000" w:sz="4" w:space="0"/>
              <w:bottom w:val="single" w:color="000000" w:sz="4" w:space="0"/>
              <w:right w:val="single" w:color="000000" w:sz="4" w:space="0"/>
            </w:tcBorders>
            <w:vAlign w:val="center"/>
          </w:tcPr>
          <w:p>
            <w:pPr>
              <w:pStyle w:val="28"/>
              <w:spacing w:before="8" w:beforeAutospacing="0"/>
              <w:jc w:val="center"/>
              <w:rPr>
                <w:sz w:val="21"/>
                <w:szCs w:val="22"/>
              </w:rPr>
            </w:pPr>
            <w:r>
              <w:rPr>
                <w:rFonts w:hint="eastAsia"/>
                <w:sz w:val="21"/>
                <w:szCs w:val="22"/>
              </w:rPr>
              <w:t>其中：专业核心课程（门）</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spacing w:before="8"/>
              <w:jc w:val="center"/>
              <w:rPr>
                <w:sz w:val="21"/>
                <w:szCs w:val="22"/>
              </w:rPr>
            </w:pPr>
            <w:r>
              <w:rPr>
                <w:rFonts w:ascii="Segoe UI" w:hAnsi="Segoe UI" w:cs="Segoe UI"/>
                <w:sz w:val="21"/>
                <w:szCs w:val="21"/>
              </w:rPr>
              <w:t>1</w:t>
            </w:r>
          </w:p>
        </w:tc>
      </w:tr>
    </w:tbl>
    <w:p>
      <w:bookmarkStart w:id="11" w:name="_TOC_250064"/>
      <w:bookmarkEnd w:id="11"/>
      <w:bookmarkStart w:id="12" w:name="_TOC_250067"/>
      <w:bookmarkEnd w:id="12"/>
    </w:p>
    <w:p>
      <w:pPr>
        <w:pStyle w:val="4"/>
        <w:rPr>
          <w:rFonts w:ascii="宋体" w:hAnsi="宋体" w:eastAsia="宋体"/>
          <w:b w:val="0"/>
          <w:bCs w:val="0"/>
          <w:sz w:val="24"/>
          <w:szCs w:val="24"/>
        </w:rPr>
      </w:pPr>
      <w:bookmarkStart w:id="13" w:name="_Toc154735765"/>
      <w:r>
        <w:rPr>
          <w:rFonts w:hint="eastAsia" w:ascii="宋体" w:hAnsi="宋体" w:eastAsia="宋体"/>
          <w:b w:val="0"/>
          <w:bCs w:val="0"/>
          <w:sz w:val="24"/>
          <w:szCs w:val="24"/>
        </w:rPr>
        <w:t>1</w:t>
      </w:r>
      <w:r>
        <w:rPr>
          <w:rFonts w:ascii="宋体" w:hAnsi="宋体" w:eastAsia="宋体"/>
          <w:b w:val="0"/>
          <w:bCs w:val="0"/>
          <w:sz w:val="24"/>
          <w:szCs w:val="24"/>
        </w:rPr>
        <w:t>.2</w:t>
      </w:r>
      <w:r>
        <w:rPr>
          <w:rFonts w:hint="eastAsia" w:ascii="宋体" w:hAnsi="宋体" w:eastAsia="宋体"/>
          <w:b w:val="0"/>
          <w:bCs w:val="0"/>
          <w:sz w:val="24"/>
          <w:szCs w:val="24"/>
        </w:rPr>
        <w:t>人才培养目标</w:t>
      </w:r>
      <w:bookmarkEnd w:id="13"/>
    </w:p>
    <w:p>
      <w:pPr>
        <w:shd w:val="clear" w:color="auto" w:fill="FFFFFF"/>
        <w:adjustRightInd w:val="0"/>
        <w:snapToGrid w:val="0"/>
        <w:spacing w:line="360" w:lineRule="auto"/>
        <w:ind w:firstLine="360"/>
        <w:rPr>
          <w:rFonts w:ascii="仿宋_GB2312" w:hAnsi="Times New Roman" w:eastAsia="仿宋_GB2312"/>
          <w:color w:val="333333"/>
        </w:rPr>
      </w:pPr>
      <w:r>
        <w:rPr>
          <w:rFonts w:hint="eastAsia" w:ascii="仿宋_GB2312" w:hAnsi="Times New Roman" w:eastAsia="仿宋_GB2312"/>
          <w:color w:val="333333"/>
        </w:rPr>
        <w:t>本科专业的建立，既是老年服务与管理专科的延续，为专科学生的继续深造提供平台；又为养老服务相关专业硕士和博士培养的丰富来源。因此，社会对养老服务管理专业人才的需求量大。据此，养老服务管理专业人才培养从服务性行业实际和发展需要出发，确定养老服务管理专业学生的就业岗位群，确立一条融传授知识、培养能力、提高素质为一体的养老服务管理专业人才培养模式。</w:t>
      </w:r>
    </w:p>
    <w:p>
      <w:pPr>
        <w:shd w:val="clear" w:color="auto" w:fill="FFFFFF"/>
        <w:adjustRightInd w:val="0"/>
        <w:snapToGrid w:val="0"/>
        <w:spacing w:line="360" w:lineRule="auto"/>
        <w:ind w:firstLine="360"/>
        <w:rPr>
          <w:rFonts w:ascii="仿宋_GB2312" w:hAnsi="Times New Roman" w:eastAsia="仿宋_GB2312"/>
          <w:color w:val="333333"/>
        </w:rPr>
      </w:pPr>
      <w:r>
        <w:rPr>
          <w:rFonts w:hint="eastAsia" w:ascii="仿宋_GB2312" w:hAnsi="Times New Roman" w:eastAsia="仿宋_GB2312"/>
          <w:color w:val="333333"/>
        </w:rPr>
        <w:t>我校培养的养老服务管理专业人才必须是思想政治素质高，同时，具备扎实的专业知识和政策水平，尤其是应该懂得维护老年人合法权益、熟悉国家养老保险制度规定、熟悉我国老年社会政策、善于管理经营老年事业产业实体；能够运用老年社会学、老年心理学、老龄社会工作这些应用社会科学的知识和方法，发现问题、提出问题、解决问题的实用性人才。养老服务管理的人才培养目标是培养具有全面的知识结构，较强管理规划和组织能力，良好职业素养和创业精神，能胜任养老服务管理工作的高端人才，人才定位是精英化、高端化，为新经济时代开展养老服务管理活动培养储备干部。</w:t>
      </w:r>
    </w:p>
    <w:p>
      <w:pPr>
        <w:adjustRightInd w:val="0"/>
        <w:snapToGrid w:val="0"/>
        <w:spacing w:line="360" w:lineRule="auto"/>
        <w:ind w:firstLine="482" w:firstLineChars="200"/>
        <w:rPr>
          <w:rFonts w:ascii="Times New Roman" w:hAnsi="Times New Roman" w:eastAsia="黑体"/>
          <w:b/>
        </w:rPr>
      </w:pPr>
      <w:r>
        <w:rPr>
          <w:rFonts w:hint="eastAsia" w:ascii="Times New Roman" w:hAnsi="Times New Roman" w:eastAsia="黑体"/>
          <w:b/>
        </w:rPr>
        <w:t>养老服务管理专业，能够适应社会发展、紧跟时代趋势；而专业化的产学研战略联盟和教育领域内的专业研究已经为养老服务管理的创设奠定了坚实基础。在与产学研基地合作中，专业已经具备：全国各地已有养老服务管理专业的实习点；实习大纲走上国际标准；学校和实习基地形成专业人才培养序列；每年特设奖学金资助等优势。支撑了养老服务管理专业的增设，具有其科学性、合理性、针对性和适应性。</w:t>
      </w:r>
    </w:p>
    <w:p>
      <w:pPr>
        <w:pStyle w:val="3"/>
        <w:spacing w:after="120" w:line="415" w:lineRule="auto"/>
        <w:jc w:val="left"/>
        <w:rPr>
          <w:rFonts w:ascii="宋体" w:hAnsi="宋体"/>
          <w:sz w:val="28"/>
          <w:szCs w:val="28"/>
        </w:rPr>
      </w:pPr>
      <w:bookmarkStart w:id="14" w:name="_Toc154735766"/>
      <w:r>
        <w:rPr>
          <w:rFonts w:ascii="宋体" w:hAnsi="宋体"/>
          <w:sz w:val="28"/>
          <w:szCs w:val="28"/>
        </w:rPr>
        <w:t>2.</w:t>
      </w:r>
      <w:r>
        <w:rPr>
          <w:rFonts w:hint="eastAsia" w:ascii="宋体" w:hAnsi="宋体"/>
          <w:sz w:val="28"/>
          <w:szCs w:val="28"/>
        </w:rPr>
        <w:t>毕业要求</w:t>
      </w:r>
      <w:bookmarkEnd w:id="14"/>
    </w:p>
    <w:p>
      <w:pPr>
        <w:widowControl w:val="0"/>
        <w:adjustRightInd w:val="0"/>
        <w:snapToGrid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本专业学生将系统学习养老服务管理的理论，接受管理方法与技巧方面的基本训练，具有分析和解决养老服务管理实际问题的能力。</w:t>
      </w:r>
    </w:p>
    <w:p>
      <w:pPr>
        <w:widowControl w:val="0"/>
        <w:adjustRightInd w:val="0"/>
        <w:snapToGrid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在校期间，学生需努力提升自身修养，并完成以下要求：</w:t>
      </w:r>
    </w:p>
    <w:p>
      <w:pPr>
        <w:widowControl w:val="0"/>
        <w:adjustRightInd w:val="0"/>
        <w:snapToGrid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（一）具备较好思想道德修养、人文素质、科学精神、宪法法治意识、国家安全意识和认知能力。</w:t>
      </w:r>
    </w:p>
    <w:p>
      <w:pPr>
        <w:widowControl w:val="0"/>
        <w:adjustRightInd w:val="0"/>
        <w:snapToGrid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（二）掌握管理学、经济学的基本原理和服务管理的基本理论、基本知识。</w:t>
      </w:r>
    </w:p>
    <w:p>
      <w:pPr>
        <w:widowControl w:val="0"/>
        <w:adjustRightInd w:val="0"/>
        <w:snapToGrid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（三）掌握养老服务管理的基本理论、基本知识，具备养老服务管理方面的知识和技能，具备定性、定量分析和研究问题的基本能</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力。</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（四）掌握养老服务管理理论前沿和发展动态，熟悉国内外养老机构运营和管理模式，立足本土实际，兼具国际化视野。</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（五）掌握文献检索、资料查询和调研分析的基本方法，具有一定的科学研究和实际工作能力，具有一定的批判性思维能力。</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（六）具备较强的语言与文字表达、沟通能力、协作能力。较熟练地掌握一门外语，能较顺利地阅读本专业的外文书刊，进行自主学</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习和交流。</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（七）掌握计算机知识，能熟练使用办公自动化软件，并能对常用管理模型进行程序设计。</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（八）学生通过人文科学、社会科学、自然科学等相关课程的学习，以及社会实践和第二课堂的活动等，获得较为全面的素质培养。</w:t>
      </w:r>
    </w:p>
    <w:p>
      <w:pPr>
        <w:widowControl w:val="0"/>
        <w:rPr>
          <w:rFonts w:ascii="仿宋" w:hAnsi="仿宋" w:eastAsia="仿宋" w:cstheme="minorBidi"/>
          <w:kern w:val="2"/>
        </w:rPr>
      </w:pPr>
    </w:p>
    <w:p>
      <w:pPr>
        <w:pStyle w:val="3"/>
        <w:spacing w:after="120" w:line="415" w:lineRule="auto"/>
        <w:jc w:val="left"/>
        <w:rPr>
          <w:rFonts w:ascii="宋体" w:hAnsi="宋体"/>
          <w:sz w:val="28"/>
          <w:szCs w:val="28"/>
        </w:rPr>
      </w:pPr>
      <w:bookmarkStart w:id="15" w:name="_Toc154735767"/>
      <w:r>
        <w:rPr>
          <w:rFonts w:ascii="宋体" w:hAnsi="宋体"/>
          <w:sz w:val="28"/>
          <w:szCs w:val="28"/>
        </w:rPr>
        <w:t>3.</w:t>
      </w:r>
      <w:r>
        <w:rPr>
          <w:rFonts w:hint="eastAsia" w:ascii="宋体" w:hAnsi="宋体"/>
          <w:sz w:val="28"/>
          <w:szCs w:val="28"/>
        </w:rPr>
        <w:t>培养情况</w:t>
      </w:r>
      <w:bookmarkEnd w:id="15"/>
      <w:r>
        <w:rPr>
          <w:rFonts w:ascii="宋体" w:hAnsi="宋体"/>
          <w:sz w:val="28"/>
          <w:szCs w:val="28"/>
        </w:rPr>
        <w:t xml:space="preserve"> </w:t>
      </w:r>
    </w:p>
    <w:p>
      <w:pPr>
        <w:pStyle w:val="4"/>
        <w:rPr>
          <w:rFonts w:ascii="宋体" w:hAnsi="宋体" w:eastAsia="宋体"/>
          <w:b w:val="0"/>
          <w:bCs w:val="0"/>
          <w:sz w:val="24"/>
          <w:szCs w:val="24"/>
        </w:rPr>
      </w:pPr>
      <w:bookmarkStart w:id="16" w:name="_Toc154735768"/>
      <w:r>
        <w:rPr>
          <w:rFonts w:hint="eastAsia" w:ascii="宋体" w:hAnsi="宋体" w:eastAsia="宋体"/>
          <w:b w:val="0"/>
          <w:bCs w:val="0"/>
          <w:sz w:val="24"/>
          <w:szCs w:val="24"/>
        </w:rPr>
        <w:t>3</w:t>
      </w:r>
      <w:r>
        <w:rPr>
          <w:rFonts w:ascii="宋体" w:hAnsi="宋体" w:eastAsia="宋体"/>
          <w:b w:val="0"/>
          <w:bCs w:val="0"/>
          <w:sz w:val="24"/>
          <w:szCs w:val="24"/>
        </w:rPr>
        <w:t>.1</w:t>
      </w:r>
      <w:r>
        <w:rPr>
          <w:rFonts w:hint="eastAsia" w:ascii="宋体" w:hAnsi="宋体" w:eastAsia="宋体"/>
          <w:b w:val="0"/>
          <w:bCs w:val="0"/>
          <w:sz w:val="24"/>
          <w:szCs w:val="24"/>
        </w:rPr>
        <w:t>专业建设情况</w:t>
      </w:r>
      <w:bookmarkEnd w:id="16"/>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（1）专业课程概况（包括专业教师开设的课程总门数，课程思政、精品课程、重点课程，双语课程、全英语课程、在线课程等建设和获批情况）。</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学院授课教师数8位，其中具有高级职称的授课教师6位。本科学生数1</w:t>
      </w:r>
      <w:r>
        <w:rPr>
          <w:rFonts w:ascii="仿宋" w:hAnsi="仿宋" w:eastAsia="仿宋" w:cstheme="minorBidi"/>
          <w:kern w:val="2"/>
        </w:rPr>
        <w:t>16</w:t>
      </w:r>
      <w:r>
        <w:rPr>
          <w:rFonts w:hint="eastAsia" w:ascii="仿宋" w:hAnsi="仿宋" w:eastAsia="仿宋" w:cstheme="minorBidi"/>
          <w:kern w:val="2"/>
        </w:rPr>
        <w:t>位，学生与本学院授课教师之比为1</w:t>
      </w:r>
      <w:r>
        <w:rPr>
          <w:rFonts w:ascii="仿宋" w:hAnsi="仿宋" w:eastAsia="仿宋" w:cstheme="minorBidi"/>
          <w:kern w:val="2"/>
        </w:rPr>
        <w:t>4.5</w:t>
      </w:r>
      <w:r>
        <w:rPr>
          <w:rFonts w:hint="eastAsia" w:ascii="仿宋" w:hAnsi="仿宋" w:eastAsia="仿宋" w:cstheme="minorBidi"/>
          <w:kern w:val="2"/>
        </w:rPr>
        <w:t>:</w:t>
      </w:r>
      <w:r>
        <w:rPr>
          <w:rFonts w:ascii="仿宋" w:hAnsi="仿宋" w:eastAsia="仿宋" w:cstheme="minorBidi"/>
          <w:kern w:val="2"/>
        </w:rPr>
        <w:t>1</w:t>
      </w:r>
      <w:r>
        <w:rPr>
          <w:rFonts w:hint="eastAsia" w:ascii="仿宋" w:hAnsi="仿宋" w:eastAsia="仿宋" w:cstheme="minorBidi"/>
          <w:kern w:val="2"/>
        </w:rPr>
        <w:t>。</w:t>
      </w:r>
    </w:p>
    <w:p>
      <w:pPr>
        <w:ind w:firstLine="2409" w:firstLineChars="1000"/>
        <w:rPr>
          <w:b/>
          <w:bCs/>
        </w:rPr>
      </w:pPr>
      <w:r>
        <w:rPr>
          <w:rFonts w:hint="eastAsia"/>
          <w:b/>
          <w:bCs/>
        </w:rPr>
        <w:t>表</w:t>
      </w:r>
      <w:r>
        <w:rPr>
          <w:b/>
          <w:bCs/>
        </w:rPr>
        <w:t>3.1</w:t>
      </w:r>
      <w:r>
        <w:rPr>
          <w:rFonts w:hint="eastAsia"/>
          <w:b/>
          <w:bCs/>
        </w:rPr>
        <w:t xml:space="preserve"> 专业生师情况（时点）</w:t>
      </w:r>
    </w:p>
    <w:tbl>
      <w:tblPr>
        <w:tblStyle w:val="17"/>
        <w:tblW w:w="8568" w:type="dxa"/>
        <w:tblInd w:w="-19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5" w:type="dxa"/>
          <w:left w:w="15" w:type="dxa"/>
          <w:bottom w:w="15" w:type="dxa"/>
          <w:right w:w="15" w:type="dxa"/>
        </w:tblCellMar>
      </w:tblPr>
      <w:tblGrid>
        <w:gridCol w:w="991"/>
        <w:gridCol w:w="1155"/>
        <w:gridCol w:w="1485"/>
        <w:gridCol w:w="765"/>
        <w:gridCol w:w="1171"/>
        <w:gridCol w:w="1349"/>
        <w:gridCol w:w="1652"/>
      </w:tblGrid>
      <w:tr>
        <w:trPr>
          <w:trHeight w:val="505" w:hRule="atLeast"/>
          <w:tblHeader/>
        </w:trPr>
        <w:tc>
          <w:tcPr>
            <w:tcW w:w="3631"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b/>
                <w:bCs/>
              </w:rPr>
              <w:t>授课教师</w:t>
            </w:r>
          </w:p>
        </w:tc>
        <w:tc>
          <w:tcPr>
            <w:tcW w:w="7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b/>
                <w:bCs/>
              </w:rPr>
              <w:t>本科学生数</w:t>
            </w:r>
          </w:p>
        </w:tc>
        <w:tc>
          <w:tcPr>
            <w:tcW w:w="117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b/>
                <w:bCs/>
              </w:rPr>
              <w:t>学生与本学院授课教师之比</w:t>
            </w:r>
          </w:p>
        </w:tc>
        <w:tc>
          <w:tcPr>
            <w:tcW w:w="134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b/>
                <w:bCs/>
              </w:rPr>
              <w:t>应届毕业生数</w:t>
            </w:r>
          </w:p>
        </w:tc>
        <w:tc>
          <w:tcPr>
            <w:tcW w:w="165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b/>
                <w:bCs/>
              </w:rPr>
              <w:t>当年毕业生初次就业率（ %）</w:t>
            </w:r>
          </w:p>
        </w:tc>
      </w:tr>
      <w:tr>
        <w:trPr>
          <w:trHeight w:val="450" w:hRule="atLeast"/>
          <w:tblHeader/>
        </w:trPr>
        <w:tc>
          <w:tcPr>
            <w:tcW w:w="9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b/>
                <w:bCs/>
              </w:rPr>
              <w:t>本学院授课教师数</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b/>
                <w:bCs/>
              </w:rPr>
              <w:t>外学院授课教师数</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b/>
                <w:bCs/>
              </w:rPr>
              <w:t>具有高级职称的授课教师数</w:t>
            </w:r>
          </w:p>
        </w:tc>
        <w:tc>
          <w:tcPr>
            <w:tcW w:w="7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p>
        </w:tc>
        <w:tc>
          <w:tcPr>
            <w:tcW w:w="117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p>
        </w:tc>
        <w:tc>
          <w:tcPr>
            <w:tcW w:w="134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p>
        </w:tc>
        <w:tc>
          <w:tcPr>
            <w:tcW w:w="165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p>
        </w:tc>
      </w:tr>
      <w:tr>
        <w:trPr>
          <w:trHeight w:val="450" w:hRule="atLeast"/>
        </w:trPr>
        <w:tc>
          <w:tcPr>
            <w:tcW w:w="99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t>8</w:t>
            </w:r>
          </w:p>
        </w:tc>
        <w:tc>
          <w:tcPr>
            <w:tcW w:w="11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rPr>
              <w:t>0</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rPr>
              <w:t>6</w:t>
            </w:r>
          </w:p>
        </w:tc>
        <w:tc>
          <w:tcPr>
            <w:tcW w:w="76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t>116</w:t>
            </w:r>
          </w:p>
        </w:tc>
        <w:tc>
          <w:tcPr>
            <w:tcW w:w="117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r>
              <w:rPr>
                <w:rFonts w:hint="eastAsia"/>
              </w:rPr>
              <w:t>1</w:t>
            </w:r>
            <w:r>
              <w:t>4.5</w:t>
            </w:r>
            <w:r>
              <w:rPr>
                <w:rFonts w:hint="eastAsia"/>
              </w:rPr>
              <w:t>：1</w:t>
            </w:r>
          </w:p>
        </w:tc>
        <w:tc>
          <w:tcPr>
            <w:tcW w:w="134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p>
        </w:tc>
        <w:tc>
          <w:tcPr>
            <w:tcW w:w="165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rPr>
                <w:b/>
                <w:bCs/>
              </w:rPr>
            </w:pPr>
          </w:p>
        </w:tc>
      </w:tr>
      <w:tr>
        <w:trPr>
          <w:trHeight w:val="450" w:hRule="atLeast"/>
        </w:trPr>
        <w:tc>
          <w:tcPr>
            <w:tcW w:w="8568" w:type="dxa"/>
            <w:gridSpan w:val="7"/>
            <w:tcBorders>
              <w:top w:val="single" w:color="auto" w:sz="4" w:space="0"/>
              <w:left w:val="single" w:color="auto" w:sz="4" w:space="0"/>
              <w:bottom w:val="single" w:color="auto" w:sz="4" w:space="0"/>
              <w:right w:val="single" w:color="auto" w:sz="4" w:space="0"/>
              <w:tl2br w:val="nil"/>
              <w:tr2bl w:val="nil"/>
            </w:tcBorders>
            <w:shd w:val="clear" w:color="auto" w:fill="auto"/>
            <w:tcMar>
              <w:top w:w="15" w:type="dxa"/>
              <w:left w:w="150" w:type="dxa"/>
              <w:bottom w:w="15" w:type="dxa"/>
              <w:right w:w="15" w:type="dxa"/>
            </w:tcMar>
            <w:vAlign w:val="center"/>
          </w:tcPr>
          <w:p>
            <w:r>
              <w:rPr>
                <w:rFonts w:hint="eastAsia"/>
              </w:rPr>
              <w:t xml:space="preserve">【注】：本表格中授课教师只统计专业课教师，不含外聘人员，含离职人员。 </w:t>
            </w:r>
          </w:p>
        </w:tc>
      </w:tr>
    </w:tbl>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（2）课程教学大纲制定情况</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本专业历来重视课程教学环节，要求每门任课教师必须</w:t>
      </w:r>
      <w:r>
        <w:rPr>
          <w:rFonts w:hint="eastAsia" w:ascii="仿宋" w:hAnsi="仿宋" w:eastAsia="仿宋" w:cstheme="minorBidi"/>
          <w:kern w:val="2"/>
        </w:rPr>
        <w:t>在</w:t>
      </w:r>
      <w:r>
        <w:rPr>
          <w:rFonts w:ascii="仿宋" w:hAnsi="仿宋" w:eastAsia="仿宋" w:cstheme="minorBidi"/>
          <w:kern w:val="2"/>
        </w:rPr>
        <w:t>开课前备好教学大纲、教学计划表和教学方案，其中教学大纲和教学计划表每学期</w:t>
      </w:r>
      <w:r>
        <w:rPr>
          <w:rFonts w:hint="eastAsia" w:ascii="仿宋" w:hAnsi="仿宋" w:eastAsia="仿宋" w:cstheme="minorBidi"/>
          <w:kern w:val="2"/>
        </w:rPr>
        <w:t>在</w:t>
      </w:r>
      <w:r>
        <w:rPr>
          <w:rFonts w:ascii="仿宋" w:hAnsi="仿宋" w:eastAsia="仿宋" w:cstheme="minorBidi"/>
          <w:kern w:val="2"/>
        </w:rPr>
        <w:t>开课前必须向教务处提交备案。首次开课的教师必须将这些基本教学文件交由系主任和教学副院长两级审核，审核通过后才能上交教务处，并且正常开课。对培养计划中的每门课程均制定有完备的教学文件，包括：课程简介、教学大纲、教学方案、课程教案、PPT课件等。对于考卷，系主任和教学副院长两级审核后方可印刷使用，归档率达到100%。</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（3）教材建设情况</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本专业</w:t>
      </w:r>
      <w:r>
        <w:rPr>
          <w:rFonts w:hint="eastAsia" w:ascii="仿宋" w:hAnsi="仿宋" w:eastAsia="仿宋" w:cstheme="minorBidi"/>
          <w:kern w:val="2"/>
        </w:rPr>
        <w:t>重视教材建设，针对学生的特点和需要，对专业课程展开教材撰写准备工作。专业授课老师结合自身研究课题和案例，将其应用到教学过程中，促进了课程的教学。</w:t>
      </w:r>
      <w:r>
        <w:rPr>
          <w:rFonts w:ascii="仿宋" w:hAnsi="仿宋" w:eastAsia="仿宋" w:cstheme="minorBidi"/>
          <w:kern w:val="2"/>
        </w:rPr>
        <w:t>按照学校的要求，根据科学合理的教材选用制度，选用符合教学大纲要求的优秀本科教材。教材使用程序规范，教师选用教材，必须填写“教材选用计划表”，经审核通过后确定教材的选用。</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2</w:t>
      </w:r>
      <w:r>
        <w:rPr>
          <w:rFonts w:ascii="仿宋" w:hAnsi="仿宋" w:eastAsia="仿宋" w:cstheme="minorBidi"/>
          <w:kern w:val="2"/>
        </w:rPr>
        <w:t>022</w:t>
      </w:r>
      <w:r>
        <w:rPr>
          <w:rFonts w:hint="eastAsia" w:ascii="仿宋" w:hAnsi="仿宋" w:eastAsia="仿宋" w:cstheme="minorBidi"/>
          <w:kern w:val="2"/>
        </w:rPr>
        <w:t>年1</w:t>
      </w:r>
      <w:r>
        <w:rPr>
          <w:rFonts w:ascii="仿宋" w:hAnsi="仿宋" w:eastAsia="仿宋" w:cstheme="minorBidi"/>
          <w:kern w:val="2"/>
        </w:rPr>
        <w:t>1</w:t>
      </w:r>
      <w:r>
        <w:rPr>
          <w:rFonts w:hint="eastAsia" w:ascii="仿宋" w:hAnsi="仿宋" w:eastAsia="仿宋" w:cstheme="minorBidi"/>
          <w:kern w:val="2"/>
        </w:rPr>
        <w:t>月1</w:t>
      </w:r>
      <w:r>
        <w:rPr>
          <w:rFonts w:ascii="仿宋" w:hAnsi="仿宋" w:eastAsia="仿宋" w:cstheme="minorBidi"/>
          <w:kern w:val="2"/>
        </w:rPr>
        <w:t>1</w:t>
      </w:r>
      <w:r>
        <w:rPr>
          <w:rFonts w:hint="eastAsia" w:ascii="仿宋" w:hAnsi="仿宋" w:eastAsia="仿宋" w:cstheme="minorBidi"/>
          <w:kern w:val="2"/>
        </w:rPr>
        <w:t>日，本专业多门课程获得</w:t>
      </w:r>
      <w:r>
        <w:rPr>
          <w:rFonts w:ascii="仿宋" w:hAnsi="仿宋" w:eastAsia="仿宋" w:cstheme="minorBidi"/>
          <w:kern w:val="2"/>
        </w:rPr>
        <w:t>上海工程技术大学首批“产教融合教材”建设项目:</w:t>
      </w:r>
      <w:r>
        <w:rPr>
          <w:rFonts w:hint="eastAsia" w:ascii="仿宋" w:hAnsi="仿宋" w:eastAsia="仿宋" w:cstheme="minorBidi"/>
          <w:kern w:val="2"/>
        </w:rPr>
        <w:t>《</w:t>
      </w:r>
      <w:r>
        <w:rPr>
          <w:rFonts w:ascii="仿宋" w:hAnsi="仿宋" w:eastAsia="仿宋" w:cstheme="minorBidi"/>
          <w:kern w:val="2"/>
        </w:rPr>
        <w:t>养老服务管理概论</w:t>
      </w:r>
      <w:r>
        <w:rPr>
          <w:rFonts w:hint="eastAsia" w:ascii="仿宋" w:hAnsi="仿宋" w:eastAsia="仿宋" w:cstheme="minorBidi"/>
          <w:kern w:val="2"/>
        </w:rPr>
        <w:t>》、《</w:t>
      </w:r>
      <w:r>
        <w:rPr>
          <w:rFonts w:ascii="仿宋" w:hAnsi="仿宋" w:eastAsia="仿宋" w:cstheme="minorBidi"/>
          <w:kern w:val="2"/>
        </w:rPr>
        <w:t>健康管理</w:t>
      </w:r>
      <w:r>
        <w:rPr>
          <w:rFonts w:hint="eastAsia" w:ascii="仿宋" w:hAnsi="仿宋" w:eastAsia="仿宋" w:cstheme="minorBidi"/>
          <w:kern w:val="2"/>
        </w:rPr>
        <w:t>》、《</w:t>
      </w:r>
      <w:r>
        <w:rPr>
          <w:rFonts w:ascii="仿宋" w:hAnsi="仿宋" w:eastAsia="仿宋" w:cstheme="minorBidi"/>
          <w:kern w:val="2"/>
        </w:rPr>
        <w:t>养老金融</w:t>
      </w:r>
      <w:r>
        <w:rPr>
          <w:rFonts w:hint="eastAsia" w:ascii="仿宋" w:hAnsi="仿宋" w:eastAsia="仿宋" w:cstheme="minorBidi"/>
          <w:kern w:val="2"/>
        </w:rPr>
        <w:t>》、《</w:t>
      </w:r>
      <w:r>
        <w:rPr>
          <w:rFonts w:ascii="仿宋" w:hAnsi="仿宋" w:eastAsia="仿宋" w:cstheme="minorBidi"/>
          <w:kern w:val="2"/>
        </w:rPr>
        <w:t>智慧养老</w:t>
      </w:r>
      <w:r>
        <w:rPr>
          <w:rFonts w:hint="eastAsia" w:ascii="仿宋" w:hAnsi="仿宋" w:eastAsia="仿宋" w:cstheme="minorBidi"/>
          <w:kern w:val="2"/>
        </w:rPr>
        <w:t>》、《</w:t>
      </w:r>
      <w:r>
        <w:rPr>
          <w:rFonts w:ascii="仿宋" w:hAnsi="仿宋" w:eastAsia="仿宋" w:cstheme="minorBidi"/>
          <w:kern w:val="2"/>
        </w:rPr>
        <w:t>老年社会工作</w:t>
      </w:r>
      <w:r>
        <w:rPr>
          <w:rFonts w:hint="eastAsia" w:ascii="仿宋" w:hAnsi="仿宋" w:eastAsia="仿宋" w:cstheme="minorBidi"/>
          <w:kern w:val="2"/>
        </w:rPr>
        <w:t>》、《老年心理学》</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关注国内外养老产业的发展趋势，以机构养老服务管理和社区养老服务管理为主要方向，以组建学校专业教师和实训基地带教老师“双师型”教学模式，以及“医—养—康—护”四位一体的专业知识培养体系为主要特色，开展教学与实践相结合的双模块教学，基层管理岗位的操作能力和高级管理岗位人际沟通能力和组织能力的培养。</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以社会需求为导向，注重养老知识、管理知识和人文素养的知识结构融合，课堂理论教学与养老机构、企业实践教学的产教融合，国内国际融合与合作，致力培养养老机构职业经理人、社区养老规划师、个人养老咨询顾问等，具备扎实专业知识，实际分析问题和解决问题的能力，且具有国际视野和奉献精神的高素质应用型创新人才。教学过程注重理论与实践相结合、知识与能力相结合、应知与应会相结合，使学生具备养老服务综合管理知识、管理和评估的专业技能和创新创业的思维。</w:t>
      </w:r>
    </w:p>
    <w:p>
      <w:pPr>
        <w:pStyle w:val="4"/>
        <w:rPr>
          <w:rFonts w:ascii="宋体" w:hAnsi="宋体" w:eastAsia="宋体"/>
          <w:b w:val="0"/>
          <w:bCs w:val="0"/>
          <w:sz w:val="24"/>
          <w:szCs w:val="24"/>
        </w:rPr>
      </w:pPr>
      <w:bookmarkStart w:id="17" w:name="_Toc154735769"/>
      <w:r>
        <w:rPr>
          <w:rFonts w:ascii="宋体" w:hAnsi="宋体" w:eastAsia="宋体"/>
          <w:b w:val="0"/>
          <w:bCs w:val="0"/>
          <w:sz w:val="24"/>
          <w:szCs w:val="24"/>
        </w:rPr>
        <w:t>3.2专业教学计划</w:t>
      </w:r>
      <w:bookmarkEnd w:id="17"/>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3.2.1专业教学计划情况</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专业教学中，理论教学学时为1</w:t>
      </w:r>
      <w:r>
        <w:rPr>
          <w:rFonts w:ascii="仿宋" w:hAnsi="仿宋" w:eastAsia="仿宋" w:cstheme="minorBidi"/>
          <w:kern w:val="2"/>
        </w:rPr>
        <w:t>966</w:t>
      </w:r>
      <w:r>
        <w:rPr>
          <w:rFonts w:hint="eastAsia" w:ascii="仿宋" w:hAnsi="仿宋" w:eastAsia="仿宋" w:cstheme="minorBidi"/>
          <w:kern w:val="2"/>
        </w:rPr>
        <w:t>，占总学时比为5</w:t>
      </w:r>
      <w:r>
        <w:rPr>
          <w:rFonts w:ascii="仿宋" w:hAnsi="仿宋" w:eastAsia="仿宋" w:cstheme="minorBidi"/>
          <w:kern w:val="2"/>
        </w:rPr>
        <w:t>8%</w:t>
      </w:r>
      <w:r>
        <w:rPr>
          <w:rFonts w:hint="eastAsia" w:ascii="仿宋" w:hAnsi="仿宋" w:eastAsia="仿宋" w:cstheme="minorBidi"/>
          <w:kern w:val="2"/>
        </w:rPr>
        <w:t>，占总学分比例为7</w:t>
      </w:r>
      <w:r>
        <w:rPr>
          <w:rFonts w:ascii="仿宋" w:hAnsi="仿宋" w:eastAsia="仿宋" w:cstheme="minorBidi"/>
          <w:kern w:val="2"/>
        </w:rPr>
        <w:t>3%</w:t>
      </w:r>
      <w:r>
        <w:rPr>
          <w:rFonts w:hint="eastAsia" w:ascii="仿宋" w:hAnsi="仿宋" w:eastAsia="仿宋" w:cstheme="minorBidi"/>
          <w:kern w:val="2"/>
        </w:rPr>
        <w:t>。实验教学学时为1</w:t>
      </w:r>
      <w:r>
        <w:rPr>
          <w:rFonts w:ascii="仿宋" w:hAnsi="仿宋" w:eastAsia="仿宋" w:cstheme="minorBidi"/>
          <w:kern w:val="2"/>
        </w:rPr>
        <w:t>390</w:t>
      </w:r>
      <w:r>
        <w:rPr>
          <w:rFonts w:hint="eastAsia" w:ascii="仿宋" w:hAnsi="仿宋" w:eastAsia="仿宋" w:cstheme="minorBidi"/>
          <w:kern w:val="2"/>
        </w:rPr>
        <w:t>，占比4</w:t>
      </w:r>
      <w:r>
        <w:rPr>
          <w:rFonts w:ascii="仿宋" w:hAnsi="仿宋" w:eastAsia="仿宋" w:cstheme="minorBidi"/>
          <w:kern w:val="2"/>
        </w:rPr>
        <w:t>1%</w:t>
      </w:r>
      <w:r>
        <w:rPr>
          <w:rFonts w:hint="eastAsia" w:ascii="仿宋" w:hAnsi="仿宋" w:eastAsia="仿宋" w:cstheme="minorBidi"/>
          <w:kern w:val="2"/>
        </w:rPr>
        <w:t>。</w:t>
      </w:r>
    </w:p>
    <w:p/>
    <w:tbl>
      <w:tblPr>
        <w:tblStyle w:val="17"/>
        <w:tblW w:w="512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9"/>
        <w:gridCol w:w="787"/>
        <w:gridCol w:w="2302"/>
        <w:gridCol w:w="813"/>
        <w:gridCol w:w="2100"/>
      </w:tblGrid>
      <w:tr>
        <w:trPr>
          <w:trHeight w:val="340" w:hRule="atLeast"/>
        </w:trPr>
        <w:tc>
          <w:tcPr>
            <w:tcW w:w="2513"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pPr>
            <w:r>
              <w:rPr>
                <w:rFonts w:hint="eastAsia"/>
                <w:sz w:val="21"/>
                <w:szCs w:val="22"/>
              </w:rPr>
              <w:t>项目</w:t>
            </w:r>
          </w:p>
        </w:tc>
        <w:tc>
          <w:tcPr>
            <w:tcW w:w="3081"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学时</w:t>
            </w:r>
          </w:p>
        </w:tc>
        <w:tc>
          <w:tcPr>
            <w:tcW w:w="2906"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学分</w:t>
            </w:r>
          </w:p>
        </w:tc>
      </w:tr>
      <w:tr>
        <w:trPr>
          <w:trHeight w:val="340" w:hRule="atLeast"/>
        </w:trPr>
        <w:tc>
          <w:tcPr>
            <w:tcW w:w="2513"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数量</w:t>
            </w:r>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占总学时比例（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2095"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占总学分比例（</w:t>
            </w:r>
            <w:r>
              <w:rPr>
                <w:rFonts w:ascii="Times New Roman" w:hAnsi="Noto Sans Mono CJK JP Regular" w:eastAsia="Times New Roman" w:cs="Noto Sans Mono CJK JP Regular"/>
                <w:b/>
                <w:sz w:val="21"/>
                <w:szCs w:val="22"/>
              </w:rPr>
              <w:t>%</w:t>
            </w:r>
            <w:r>
              <w:rPr>
                <w:rFonts w:hint="eastAsia"/>
                <w:sz w:val="21"/>
                <w:szCs w:val="22"/>
              </w:rPr>
              <w:t>）</w:t>
            </w:r>
          </w:p>
        </w:tc>
      </w:tr>
      <w:tr>
        <w:trPr>
          <w:trHeight w:val="338"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8"/>
              <w:jc w:val="center"/>
            </w:pPr>
            <w:bookmarkStart w:id="18" w:name="OLE_LINK10"/>
            <w:r>
              <w:rPr>
                <w:rFonts w:hint="eastAsia"/>
                <w:sz w:val="21"/>
                <w:szCs w:val="22"/>
              </w:rPr>
              <w:t>理论教学</w:t>
            </w:r>
            <w:bookmarkEnd w:id="18"/>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1966</w:t>
            </w:r>
            <w:bookmarkStart w:id="19" w:name="OLE_LINK8"/>
            <w:bookmarkEnd w:id="19"/>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58.58</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113.88</w:t>
            </w:r>
          </w:p>
        </w:tc>
        <w:tc>
          <w:tcPr>
            <w:tcW w:w="209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73</w:t>
            </w:r>
          </w:p>
        </w:tc>
      </w:tr>
      <w:tr>
        <w:trPr>
          <w:trHeight w:val="340"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实验教学</w:t>
            </w: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1390</w:t>
            </w:r>
            <w:bookmarkStart w:id="20" w:name="OLE_LINK9"/>
            <w:bookmarkEnd w:id="20"/>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41.42</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8.12</w:t>
            </w:r>
            <w:bookmarkStart w:id="21" w:name="OLE_LINK11"/>
            <w:bookmarkEnd w:id="21"/>
          </w:p>
        </w:tc>
        <w:tc>
          <w:tcPr>
            <w:tcW w:w="209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5.21</w:t>
            </w:r>
          </w:p>
        </w:tc>
      </w:tr>
      <w:tr>
        <w:trPr>
          <w:trHeight w:val="340"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集中性实践教学环节</w:t>
            </w: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30</w:t>
            </w:r>
          </w:p>
        </w:tc>
        <w:tc>
          <w:tcPr>
            <w:tcW w:w="209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19.23</w:t>
            </w:r>
          </w:p>
        </w:tc>
      </w:tr>
      <w:tr>
        <w:trPr>
          <w:trHeight w:val="340"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课外科技活动</w:t>
            </w: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w:t>
            </w:r>
          </w:p>
        </w:tc>
        <w:tc>
          <w:tcPr>
            <w:tcW w:w="209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2.56</w:t>
            </w:r>
          </w:p>
        </w:tc>
      </w:tr>
      <w:tr>
        <w:trPr>
          <w:trHeight w:val="340" w:hRule="atLeast"/>
        </w:trPr>
        <w:tc>
          <w:tcPr>
            <w:tcW w:w="2513"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合计</w:t>
            </w:r>
          </w:p>
        </w:tc>
        <w:tc>
          <w:tcPr>
            <w:tcW w:w="785"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3356</w:t>
            </w:r>
          </w:p>
        </w:tc>
        <w:tc>
          <w:tcPr>
            <w:tcW w:w="2296"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c>
          <w:tcPr>
            <w:tcW w:w="81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156</w:t>
            </w:r>
          </w:p>
        </w:tc>
        <w:tc>
          <w:tcPr>
            <w:tcW w:w="2095" w:type="dxa"/>
            <w:tcBorders>
              <w:top w:val="single" w:color="000000" w:sz="4" w:space="0"/>
              <w:left w:val="single" w:color="000000" w:sz="4" w:space="0"/>
              <w:bottom w:val="single" w:color="000000" w:sz="4" w:space="0"/>
              <w:right w:val="single" w:color="000000" w:sz="4" w:space="0"/>
            </w:tcBorders>
            <w:vAlign w:val="center"/>
          </w:tcPr>
          <w:p>
            <w:pPr>
              <w:pStyle w:val="28"/>
              <w:spacing w:before="51" w:beforeAutospacing="0" w:after="0" w:afterAutospacing="0"/>
              <w:jc w:val="center"/>
            </w:pPr>
            <w:r>
              <w:rPr>
                <w:rFonts w:ascii="Times New Roman" w:hAnsi="Noto Sans Mono CJK JP Regular" w:cs="Noto Sans Mono CJK JP Regular"/>
                <w:b/>
                <w:sz w:val="21"/>
                <w:szCs w:val="22"/>
              </w:rPr>
              <w:t>--</w:t>
            </w:r>
          </w:p>
        </w:tc>
      </w:tr>
    </w:tbl>
    <w:p/>
    <w:p>
      <w:r>
        <w:rPr>
          <w:rFonts w:hint="eastAsia"/>
        </w:rPr>
        <w:t>※以上数据来源：表</w:t>
      </w:r>
      <w:r>
        <w:t xml:space="preserve"> 4-2 专业培养计划表。</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3.2.2</w:t>
      </w:r>
      <w:bookmarkStart w:id="22" w:name="OLE_LINK12"/>
      <w:r>
        <w:rPr>
          <w:rFonts w:ascii="宋体" w:hAnsi="宋体" w:eastAsia="宋体" w:cstheme="minorBidi"/>
          <w:b w:val="0"/>
          <w:bCs w:val="0"/>
          <w:kern w:val="2"/>
          <w:sz w:val="24"/>
          <w:szCs w:val="24"/>
        </w:rPr>
        <w:t>课程实施情况表</w:t>
      </w:r>
      <w:bookmarkEnd w:id="22"/>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本专业课程实施情况中，专业必修课学时为4</w:t>
      </w:r>
      <w:r>
        <w:rPr>
          <w:rFonts w:ascii="仿宋" w:hAnsi="仿宋" w:eastAsia="仿宋" w:cstheme="minorBidi"/>
          <w:kern w:val="2"/>
        </w:rPr>
        <w:t>352</w:t>
      </w:r>
      <w:r>
        <w:rPr>
          <w:rFonts w:hint="eastAsia" w:ascii="仿宋" w:hAnsi="仿宋" w:eastAsia="仿宋" w:cstheme="minorBidi"/>
          <w:kern w:val="2"/>
        </w:rPr>
        <w:t>，占总开课学时比例6</w:t>
      </w:r>
      <w:r>
        <w:rPr>
          <w:rFonts w:ascii="仿宋" w:hAnsi="仿宋" w:eastAsia="仿宋" w:cstheme="minorBidi"/>
          <w:kern w:val="2"/>
        </w:rPr>
        <w:t>6%</w:t>
      </w:r>
      <w:r>
        <w:rPr>
          <w:rFonts w:hint="eastAsia" w:ascii="仿宋" w:hAnsi="仿宋" w:eastAsia="仿宋" w:cstheme="minorBidi"/>
          <w:kern w:val="2"/>
        </w:rPr>
        <w:t>，学分2</w:t>
      </w:r>
      <w:r>
        <w:rPr>
          <w:rFonts w:ascii="仿宋" w:hAnsi="仿宋" w:eastAsia="仿宋" w:cstheme="minorBidi"/>
          <w:kern w:val="2"/>
        </w:rPr>
        <w:t>72</w:t>
      </w:r>
      <w:r>
        <w:rPr>
          <w:rFonts w:hint="eastAsia" w:ascii="仿宋" w:hAnsi="仿宋" w:eastAsia="仿宋" w:cstheme="minorBidi"/>
          <w:kern w:val="2"/>
        </w:rPr>
        <w:t>，占总开课学分比例6</w:t>
      </w:r>
      <w:r>
        <w:rPr>
          <w:rFonts w:ascii="仿宋" w:hAnsi="仿宋" w:eastAsia="仿宋" w:cstheme="minorBidi"/>
          <w:kern w:val="2"/>
        </w:rPr>
        <w:t>6%</w:t>
      </w:r>
      <w:r>
        <w:rPr>
          <w:rFonts w:hint="eastAsia" w:ascii="仿宋" w:hAnsi="仿宋" w:eastAsia="仿宋" w:cstheme="minorBidi"/>
          <w:kern w:val="2"/>
        </w:rPr>
        <w:t>。专业选修课学时为2</w:t>
      </w:r>
      <w:r>
        <w:rPr>
          <w:rFonts w:ascii="仿宋" w:hAnsi="仿宋" w:eastAsia="仿宋" w:cstheme="minorBidi"/>
          <w:kern w:val="2"/>
        </w:rPr>
        <w:t>240</w:t>
      </w:r>
      <w:r>
        <w:rPr>
          <w:rFonts w:hint="eastAsia" w:ascii="仿宋" w:hAnsi="仿宋" w:eastAsia="仿宋" w:cstheme="minorBidi"/>
          <w:kern w:val="2"/>
        </w:rPr>
        <w:t>，占总开课学时比例3</w:t>
      </w:r>
      <w:r>
        <w:rPr>
          <w:rFonts w:ascii="仿宋" w:hAnsi="仿宋" w:eastAsia="仿宋" w:cstheme="minorBidi"/>
          <w:kern w:val="2"/>
        </w:rPr>
        <w:t>4%</w:t>
      </w:r>
      <w:r>
        <w:rPr>
          <w:rFonts w:hint="eastAsia" w:ascii="仿宋" w:hAnsi="仿宋" w:eastAsia="仿宋" w:cstheme="minorBidi"/>
          <w:kern w:val="2"/>
        </w:rPr>
        <w:t>，学分数量1</w:t>
      </w:r>
      <w:r>
        <w:rPr>
          <w:rFonts w:ascii="仿宋" w:hAnsi="仿宋" w:eastAsia="仿宋" w:cstheme="minorBidi"/>
          <w:kern w:val="2"/>
        </w:rPr>
        <w:t>40</w:t>
      </w:r>
      <w:r>
        <w:rPr>
          <w:rFonts w:hint="eastAsia" w:ascii="仿宋" w:hAnsi="仿宋" w:eastAsia="仿宋" w:cstheme="minorBidi"/>
          <w:kern w:val="2"/>
        </w:rPr>
        <w:t>，占总开课学分比例3</w:t>
      </w:r>
      <w:r>
        <w:rPr>
          <w:rFonts w:ascii="仿宋" w:hAnsi="仿宋" w:eastAsia="仿宋" w:cstheme="minorBidi"/>
          <w:kern w:val="2"/>
        </w:rPr>
        <w:t>4%</w:t>
      </w:r>
      <w:r>
        <w:rPr>
          <w:rFonts w:hint="eastAsia" w:ascii="仿宋" w:hAnsi="仿宋" w:eastAsia="仿宋" w:cstheme="minorBidi"/>
          <w:kern w:val="2"/>
        </w:rPr>
        <w:t>。</w:t>
      </w:r>
    </w:p>
    <w:p/>
    <w:tbl>
      <w:tblPr>
        <w:tblStyle w:val="17"/>
        <w:tblW w:w="538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1137"/>
        <w:gridCol w:w="2557"/>
        <w:gridCol w:w="853"/>
        <w:gridCol w:w="2416"/>
      </w:tblGrid>
      <w:tr>
        <w:trPr>
          <w:trHeight w:val="340" w:hRule="atLeast"/>
          <w:jc w:val="center"/>
        </w:trPr>
        <w:tc>
          <w:tcPr>
            <w:tcW w:w="1980" w:type="dxa"/>
            <w:vMerge w:val="restart"/>
            <w:tcBorders>
              <w:top w:val="single" w:color="000000" w:sz="4" w:space="0"/>
              <w:left w:val="single" w:color="000000" w:sz="4" w:space="0"/>
              <w:bottom w:val="single" w:color="000000" w:sz="4" w:space="0"/>
              <w:right w:val="single" w:color="000000" w:sz="4" w:space="0"/>
            </w:tcBorders>
            <w:vAlign w:val="center"/>
          </w:tcPr>
          <w:p>
            <w:pPr>
              <w:pStyle w:val="28"/>
              <w:spacing w:before="111" w:beforeAutospacing="0" w:after="0" w:afterAutospacing="0"/>
              <w:jc w:val="center"/>
            </w:pPr>
            <w:r>
              <w:rPr>
                <w:rFonts w:hint="eastAsia"/>
                <w:sz w:val="21"/>
                <w:szCs w:val="22"/>
              </w:rPr>
              <w:t>项目</w:t>
            </w:r>
          </w:p>
        </w:tc>
        <w:tc>
          <w:tcPr>
            <w:tcW w:w="3685"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学时</w:t>
            </w:r>
          </w:p>
        </w:tc>
        <w:tc>
          <w:tcPr>
            <w:tcW w:w="3261" w:type="dxa"/>
            <w:gridSpan w:val="2"/>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学分</w:t>
            </w:r>
          </w:p>
        </w:tc>
      </w:tr>
      <w:tr>
        <w:trPr>
          <w:trHeight w:val="340" w:hRule="atLeast"/>
          <w:jc w:val="center"/>
        </w:trPr>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jc w:val="cente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255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占总开课学时比例（</w:t>
            </w:r>
            <w:r>
              <w:rPr>
                <w:rFonts w:ascii="Times New Roman" w:hAnsi="Noto Sans Mono CJK JP Regular" w:eastAsia="Times New Roman" w:cs="Noto Sans Mono CJK JP Regular"/>
                <w:b/>
                <w:sz w:val="21"/>
                <w:szCs w:val="22"/>
              </w:rPr>
              <w:t>%</w:t>
            </w:r>
            <w:r>
              <w:rPr>
                <w:rFonts w:hint="eastAsia"/>
                <w:sz w:val="21"/>
                <w:szCs w:val="22"/>
              </w:rPr>
              <w:t>）</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数量</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hint="eastAsia"/>
                <w:sz w:val="21"/>
                <w:szCs w:val="22"/>
              </w:rPr>
              <w:t>占总开课学分比例（</w:t>
            </w:r>
            <w:r>
              <w:rPr>
                <w:rFonts w:ascii="Times New Roman" w:hAnsi="Noto Sans Mono CJK JP Regular" w:eastAsia="Times New Roman" w:cs="Noto Sans Mono CJK JP Regular"/>
                <w:b/>
                <w:sz w:val="21"/>
                <w:szCs w:val="22"/>
              </w:rPr>
              <w:t>%</w:t>
            </w:r>
            <w:r>
              <w:rPr>
                <w:rFonts w:hint="eastAsia"/>
                <w:sz w:val="21"/>
                <w:szCs w:val="22"/>
              </w:rPr>
              <w:t>）</w:t>
            </w:r>
          </w:p>
        </w:tc>
      </w:tr>
      <w:tr>
        <w:trPr>
          <w:trHeight w:val="340"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bookmarkStart w:id="23" w:name="OLE_LINK13"/>
            <w:r>
              <w:rPr>
                <w:rFonts w:hint="eastAsia"/>
                <w:sz w:val="21"/>
                <w:szCs w:val="22"/>
              </w:rPr>
              <w:t>专业必修课</w:t>
            </w:r>
            <w:bookmarkEnd w:id="23"/>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4352</w:t>
            </w:r>
          </w:p>
        </w:tc>
        <w:tc>
          <w:tcPr>
            <w:tcW w:w="255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66.02</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272</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66.02</w:t>
            </w:r>
          </w:p>
        </w:tc>
      </w:tr>
      <w:tr>
        <w:trPr>
          <w:trHeight w:val="340" w:hRule="atLeast"/>
          <w:jc w:val="center"/>
        </w:trPr>
        <w:tc>
          <w:tcPr>
            <w:tcW w:w="198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专业选修课</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2240</w:t>
            </w:r>
          </w:p>
        </w:tc>
        <w:tc>
          <w:tcPr>
            <w:tcW w:w="255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33.98</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140</w:t>
            </w:r>
          </w:p>
        </w:tc>
        <w:tc>
          <w:tcPr>
            <w:tcW w:w="2410"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33.98</w:t>
            </w:r>
          </w:p>
        </w:tc>
      </w:tr>
    </w:tbl>
    <w:p/>
    <w:p>
      <w:r>
        <w:rPr>
          <w:rFonts w:hint="eastAsia"/>
        </w:rPr>
        <w:t>※以上数据来源：表</w:t>
      </w:r>
      <w:r>
        <w:t xml:space="preserve"> 5-1-1开课情况、表 5-1-2 专业课教学实施情况。</w:t>
      </w:r>
    </w:p>
    <w:p>
      <w:pPr>
        <w:pStyle w:val="4"/>
        <w:rPr>
          <w:rFonts w:ascii="宋体" w:hAnsi="宋体" w:eastAsia="宋体"/>
          <w:b w:val="0"/>
          <w:bCs w:val="0"/>
          <w:sz w:val="24"/>
          <w:szCs w:val="24"/>
        </w:rPr>
      </w:pPr>
      <w:bookmarkStart w:id="24" w:name="_Toc154735770"/>
      <w:r>
        <w:rPr>
          <w:rFonts w:ascii="宋体" w:hAnsi="宋体" w:eastAsia="宋体"/>
          <w:b w:val="0"/>
          <w:bCs w:val="0"/>
          <w:sz w:val="24"/>
          <w:szCs w:val="24"/>
        </w:rPr>
        <w:t>3.3</w:t>
      </w:r>
      <w:r>
        <w:rPr>
          <w:rFonts w:hint="eastAsia" w:ascii="宋体" w:hAnsi="宋体" w:eastAsia="宋体"/>
          <w:b w:val="0"/>
          <w:bCs w:val="0"/>
          <w:sz w:val="24"/>
          <w:szCs w:val="24"/>
        </w:rPr>
        <w:t>专业课开设情况</w:t>
      </w:r>
      <w:bookmarkEnd w:id="24"/>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本专业开设5</w:t>
      </w:r>
      <w:r>
        <w:rPr>
          <w:rFonts w:ascii="仿宋" w:hAnsi="仿宋" w:eastAsia="仿宋" w:cstheme="minorBidi"/>
          <w:kern w:val="2"/>
        </w:rPr>
        <w:t>1</w:t>
      </w:r>
      <w:r>
        <w:rPr>
          <w:rFonts w:hint="eastAsia" w:ascii="仿宋" w:hAnsi="仿宋" w:eastAsia="仿宋" w:cstheme="minorBidi"/>
          <w:kern w:val="2"/>
        </w:rPr>
        <w:t>门课，课程总门次1</w:t>
      </w:r>
      <w:r>
        <w:rPr>
          <w:rFonts w:ascii="仿宋" w:hAnsi="仿宋" w:eastAsia="仿宋" w:cstheme="minorBidi"/>
          <w:kern w:val="2"/>
        </w:rPr>
        <w:t>79</w:t>
      </w:r>
      <w:r>
        <w:rPr>
          <w:rFonts w:hint="eastAsia" w:ascii="仿宋" w:hAnsi="仿宋" w:eastAsia="仿宋" w:cstheme="minorBidi"/>
          <w:kern w:val="2"/>
        </w:rPr>
        <w:t>门，开设全外语课程门次数1门。</w:t>
      </w:r>
    </w:p>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37"/>
        <w:gridCol w:w="2079"/>
      </w:tblGrid>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项目</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数量</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课程门数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51</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课程总门次数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179</w:t>
            </w:r>
          </w:p>
        </w:tc>
      </w:tr>
      <w:tr>
        <w:trPr>
          <w:trHeight w:val="398"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rPr>
                <w:sz w:val="21"/>
                <w:szCs w:val="22"/>
              </w:rPr>
            </w:pPr>
            <w:r>
              <w:rPr>
                <w:rFonts w:hint="eastAsia"/>
                <w:sz w:val="21"/>
                <w:szCs w:val="22"/>
              </w:rPr>
              <w:t>开设全外语课程门次数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1</w:t>
            </w:r>
          </w:p>
        </w:tc>
      </w:tr>
      <w:tr>
        <w:trPr>
          <w:trHeight w:val="400" w:hRule="atLeast"/>
        </w:trPr>
        <w:tc>
          <w:tcPr>
            <w:tcW w:w="6570" w:type="dxa"/>
            <w:tcBorders>
              <w:top w:val="single" w:color="000000" w:sz="4" w:space="0"/>
              <w:left w:val="single" w:color="000000" w:sz="4" w:space="0"/>
              <w:bottom w:val="single" w:color="000000" w:sz="4" w:space="0"/>
              <w:right w:val="single" w:color="000000" w:sz="4" w:space="0"/>
            </w:tcBorders>
            <w:vAlign w:val="center"/>
          </w:tcPr>
          <w:p>
            <w:pPr>
              <w:pStyle w:val="28"/>
              <w:spacing w:before="0" w:beforeAutospacing="0" w:after="0" w:afterAutospacing="0"/>
              <w:jc w:val="center"/>
            </w:pPr>
            <w:r>
              <w:rPr>
                <w:rFonts w:hint="eastAsia"/>
                <w:sz w:val="21"/>
                <w:szCs w:val="22"/>
              </w:rPr>
              <w:t>开设双语课程门次数</w:t>
            </w:r>
          </w:p>
        </w:tc>
        <w:tc>
          <w:tcPr>
            <w:tcW w:w="2189" w:type="dxa"/>
            <w:tcBorders>
              <w:top w:val="single" w:color="000000" w:sz="4" w:space="0"/>
              <w:left w:val="single" w:color="000000" w:sz="4" w:space="0"/>
              <w:bottom w:val="single" w:color="000000" w:sz="4" w:space="0"/>
              <w:right w:val="single" w:color="000000" w:sz="4" w:space="0"/>
            </w:tcBorders>
            <w:vAlign w:val="center"/>
          </w:tcPr>
          <w:p>
            <w:pPr>
              <w:pStyle w:val="28"/>
              <w:jc w:val="center"/>
            </w:pPr>
            <w:r>
              <w:rPr>
                <w:rFonts w:ascii="Times New Roman" w:hAnsi="Noto Sans Mono CJK JP Regular" w:cs="Noto Sans Mono CJK JP Regular"/>
                <w:sz w:val="20"/>
                <w:szCs w:val="22"/>
              </w:rPr>
              <w:t>0</w:t>
            </w:r>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25" w:name="_Toc154735771"/>
      <w:r>
        <w:rPr>
          <w:rFonts w:ascii="宋体" w:hAnsi="宋体" w:eastAsia="宋体"/>
          <w:b w:val="0"/>
          <w:bCs w:val="0"/>
          <w:sz w:val="24"/>
          <w:szCs w:val="24"/>
        </w:rPr>
        <w:t>3.4专业课课堂规模</w:t>
      </w:r>
      <w:bookmarkEnd w:id="25"/>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专业课平均规模，</w:t>
      </w:r>
      <w:r>
        <w:rPr>
          <w:rFonts w:ascii="仿宋" w:hAnsi="仿宋" w:eastAsia="仿宋" w:cstheme="minorBidi"/>
          <w:kern w:val="2"/>
        </w:rPr>
        <w:t>30</w:t>
      </w:r>
      <w:r>
        <w:rPr>
          <w:rFonts w:hint="eastAsia" w:ascii="仿宋" w:hAnsi="仿宋" w:eastAsia="仿宋" w:cstheme="minorBidi"/>
          <w:kern w:val="2"/>
        </w:rPr>
        <w:t>人及以下占比5</w:t>
      </w:r>
      <w:r>
        <w:rPr>
          <w:rFonts w:ascii="仿宋" w:hAnsi="仿宋" w:eastAsia="仿宋" w:cstheme="minorBidi"/>
          <w:kern w:val="2"/>
        </w:rPr>
        <w:t>.6%</w:t>
      </w:r>
      <w:r>
        <w:rPr>
          <w:rFonts w:hint="eastAsia" w:ascii="仿宋" w:hAnsi="仿宋" w:eastAsia="仿宋" w:cstheme="minorBidi"/>
          <w:kern w:val="2"/>
        </w:rPr>
        <w:t>，3</w:t>
      </w:r>
      <w:r>
        <w:rPr>
          <w:rFonts w:ascii="仿宋" w:hAnsi="仿宋" w:eastAsia="仿宋" w:cstheme="minorBidi"/>
          <w:kern w:val="2"/>
        </w:rPr>
        <w:t>1-60</w:t>
      </w:r>
      <w:r>
        <w:rPr>
          <w:rFonts w:hint="eastAsia" w:ascii="仿宋" w:hAnsi="仿宋" w:eastAsia="仿宋" w:cstheme="minorBidi"/>
          <w:kern w:val="2"/>
        </w:rPr>
        <w:t>人占比3</w:t>
      </w:r>
      <w:r>
        <w:rPr>
          <w:rFonts w:ascii="仿宋" w:hAnsi="仿宋" w:eastAsia="仿宋" w:cstheme="minorBidi"/>
          <w:kern w:val="2"/>
        </w:rPr>
        <w:t>2%</w:t>
      </w:r>
      <w:r>
        <w:rPr>
          <w:rFonts w:hint="eastAsia" w:ascii="仿宋" w:hAnsi="仿宋" w:eastAsia="仿宋" w:cstheme="minorBidi"/>
          <w:kern w:val="2"/>
        </w:rPr>
        <w:t>，6</w:t>
      </w:r>
      <w:r>
        <w:rPr>
          <w:rFonts w:ascii="仿宋" w:hAnsi="仿宋" w:eastAsia="仿宋" w:cstheme="minorBidi"/>
          <w:kern w:val="2"/>
        </w:rPr>
        <w:t>1-90</w:t>
      </w:r>
      <w:r>
        <w:rPr>
          <w:rFonts w:hint="eastAsia" w:ascii="仿宋" w:hAnsi="仿宋" w:eastAsia="仿宋" w:cstheme="minorBidi"/>
          <w:kern w:val="2"/>
        </w:rPr>
        <w:t>人占比3</w:t>
      </w:r>
      <w:r>
        <w:rPr>
          <w:rFonts w:ascii="仿宋" w:hAnsi="仿宋" w:eastAsia="仿宋" w:cstheme="minorBidi"/>
          <w:kern w:val="2"/>
        </w:rPr>
        <w:t>5%</w:t>
      </w:r>
      <w:r>
        <w:rPr>
          <w:rFonts w:hint="eastAsia" w:ascii="仿宋" w:hAnsi="仿宋" w:eastAsia="仿宋" w:cstheme="minorBidi"/>
          <w:kern w:val="2"/>
        </w:rPr>
        <w:t>，9</w:t>
      </w:r>
      <w:r>
        <w:rPr>
          <w:rFonts w:ascii="仿宋" w:hAnsi="仿宋" w:eastAsia="仿宋" w:cstheme="minorBidi"/>
          <w:kern w:val="2"/>
        </w:rPr>
        <w:t>0</w:t>
      </w:r>
      <w:r>
        <w:rPr>
          <w:rFonts w:hint="eastAsia" w:ascii="仿宋" w:hAnsi="仿宋" w:eastAsia="仿宋" w:cstheme="minorBidi"/>
          <w:kern w:val="2"/>
        </w:rPr>
        <w:t>人以上占比2</w:t>
      </w:r>
      <w:r>
        <w:rPr>
          <w:rFonts w:ascii="仿宋" w:hAnsi="仿宋" w:eastAsia="仿宋" w:cstheme="minorBidi"/>
          <w:kern w:val="2"/>
        </w:rPr>
        <w:t>8%</w:t>
      </w:r>
      <w:r>
        <w:rPr>
          <w:rFonts w:hint="eastAsia" w:ascii="仿宋" w:hAnsi="仿宋" w:eastAsia="仿宋" w:cstheme="minorBidi"/>
          <w:kern w:val="2"/>
        </w:rPr>
        <w:t>。</w:t>
      </w:r>
    </w:p>
    <w:p/>
    <w:tbl>
      <w:tblPr>
        <w:tblStyle w:val="18"/>
        <w:tblW w:w="5260"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368"/>
        <w:gridCol w:w="1445"/>
        <w:gridCol w:w="1673"/>
        <w:gridCol w:w="1673"/>
        <w:gridCol w:w="1443"/>
      </w:tblGrid>
      <w:tr>
        <w:tc>
          <w:tcPr>
            <w:tcW w:w="760" w:type="pct"/>
            <w:vAlign w:val="center"/>
          </w:tcPr>
          <w:p>
            <w:pPr>
              <w:jc w:val="center"/>
              <w:rPr>
                <w:sz w:val="21"/>
                <w:szCs w:val="21"/>
              </w:rPr>
            </w:pPr>
          </w:p>
        </w:tc>
        <w:tc>
          <w:tcPr>
            <w:tcW w:w="763" w:type="pct"/>
            <w:vAlign w:val="center"/>
          </w:tcPr>
          <w:p>
            <w:pPr>
              <w:jc w:val="center"/>
              <w:rPr>
                <w:sz w:val="21"/>
                <w:szCs w:val="21"/>
              </w:rPr>
            </w:pPr>
            <w:r>
              <w:rPr>
                <w:rFonts w:hint="eastAsia"/>
                <w:sz w:val="21"/>
                <w:szCs w:val="21"/>
              </w:rPr>
              <w:t>平均规模</w:t>
            </w:r>
          </w:p>
        </w:tc>
        <w:tc>
          <w:tcPr>
            <w:tcW w:w="806" w:type="pct"/>
            <w:vAlign w:val="center"/>
          </w:tcPr>
          <w:p>
            <w:pPr>
              <w:jc w:val="center"/>
              <w:rPr>
                <w:sz w:val="21"/>
                <w:szCs w:val="21"/>
              </w:rPr>
            </w:pPr>
            <w:r>
              <w:rPr>
                <w:rFonts w:hint="eastAsia"/>
                <w:sz w:val="21"/>
                <w:szCs w:val="21"/>
              </w:rPr>
              <w:t>3</w:t>
            </w:r>
            <w:r>
              <w:rPr>
                <w:sz w:val="21"/>
                <w:szCs w:val="21"/>
              </w:rPr>
              <w:t>0</w:t>
            </w:r>
            <w:r>
              <w:rPr>
                <w:rFonts w:hint="eastAsia"/>
                <w:sz w:val="21"/>
                <w:szCs w:val="21"/>
              </w:rPr>
              <w:t>人及以下</w:t>
            </w:r>
          </w:p>
        </w:tc>
        <w:tc>
          <w:tcPr>
            <w:tcW w:w="933" w:type="pct"/>
            <w:vAlign w:val="center"/>
          </w:tcPr>
          <w:p>
            <w:pPr>
              <w:jc w:val="center"/>
              <w:rPr>
                <w:sz w:val="21"/>
                <w:szCs w:val="21"/>
              </w:rPr>
            </w:pPr>
            <w:r>
              <w:rPr>
                <w:rFonts w:hint="eastAsia"/>
                <w:sz w:val="21"/>
                <w:szCs w:val="21"/>
              </w:rPr>
              <w:t>3</w:t>
            </w:r>
            <w:r>
              <w:rPr>
                <w:sz w:val="21"/>
                <w:szCs w:val="21"/>
              </w:rPr>
              <w:t>1-60</w:t>
            </w:r>
            <w:r>
              <w:rPr>
                <w:rFonts w:hint="eastAsia"/>
                <w:sz w:val="21"/>
                <w:szCs w:val="21"/>
              </w:rPr>
              <w:t>人</w:t>
            </w:r>
          </w:p>
        </w:tc>
        <w:tc>
          <w:tcPr>
            <w:tcW w:w="933" w:type="pct"/>
            <w:vAlign w:val="center"/>
          </w:tcPr>
          <w:p>
            <w:pPr>
              <w:jc w:val="center"/>
              <w:rPr>
                <w:sz w:val="21"/>
                <w:szCs w:val="21"/>
              </w:rPr>
            </w:pPr>
            <w:r>
              <w:rPr>
                <w:sz w:val="21"/>
                <w:szCs w:val="21"/>
              </w:rPr>
              <w:t>61-90</w:t>
            </w:r>
            <w:r>
              <w:rPr>
                <w:rFonts w:hint="eastAsia"/>
                <w:sz w:val="21"/>
                <w:szCs w:val="21"/>
              </w:rPr>
              <w:t>人</w:t>
            </w:r>
          </w:p>
        </w:tc>
        <w:tc>
          <w:tcPr>
            <w:tcW w:w="805" w:type="pct"/>
            <w:vAlign w:val="center"/>
          </w:tcPr>
          <w:p>
            <w:pPr>
              <w:jc w:val="center"/>
              <w:rPr>
                <w:sz w:val="21"/>
                <w:szCs w:val="21"/>
              </w:rPr>
            </w:pPr>
            <w:r>
              <w:rPr>
                <w:sz w:val="21"/>
                <w:szCs w:val="21"/>
              </w:rPr>
              <w:t>90</w:t>
            </w:r>
            <w:r>
              <w:rPr>
                <w:rFonts w:hint="eastAsia"/>
                <w:sz w:val="21"/>
                <w:szCs w:val="21"/>
              </w:rPr>
              <w:t>人以上</w:t>
            </w:r>
          </w:p>
        </w:tc>
      </w:tr>
      <w:tr>
        <w:tc>
          <w:tcPr>
            <w:tcW w:w="760" w:type="pct"/>
            <w:vAlign w:val="center"/>
          </w:tcPr>
          <w:p>
            <w:pPr>
              <w:jc w:val="center"/>
              <w:rPr>
                <w:sz w:val="21"/>
                <w:szCs w:val="21"/>
              </w:rPr>
            </w:pPr>
            <w:r>
              <w:rPr>
                <w:rFonts w:hint="eastAsia"/>
                <w:sz w:val="21"/>
                <w:szCs w:val="21"/>
              </w:rPr>
              <w:t>数量</w:t>
            </w:r>
          </w:p>
        </w:tc>
        <w:tc>
          <w:tcPr>
            <w:tcW w:w="763" w:type="pct"/>
            <w:vAlign w:val="center"/>
          </w:tcPr>
          <w:p>
            <w:pPr>
              <w:jc w:val="center"/>
              <w:rPr>
                <w:sz w:val="21"/>
                <w:szCs w:val="21"/>
              </w:rPr>
            </w:pPr>
            <w:r>
              <w:rPr>
                <w:sz w:val="21"/>
                <w:szCs w:val="21"/>
              </w:rPr>
              <w:t>76.03</w:t>
            </w:r>
          </w:p>
        </w:tc>
        <w:tc>
          <w:tcPr>
            <w:tcW w:w="806" w:type="pct"/>
            <w:vAlign w:val="center"/>
          </w:tcPr>
          <w:p>
            <w:pPr>
              <w:jc w:val="center"/>
              <w:rPr>
                <w:sz w:val="21"/>
                <w:szCs w:val="21"/>
              </w:rPr>
            </w:pPr>
            <w:r>
              <w:rPr>
                <w:sz w:val="21"/>
                <w:szCs w:val="21"/>
              </w:rPr>
              <w:t>10</w:t>
            </w:r>
            <w:bookmarkStart w:id="26" w:name="OLE_LINK14"/>
            <w:bookmarkEnd w:id="26"/>
          </w:p>
        </w:tc>
        <w:tc>
          <w:tcPr>
            <w:tcW w:w="933" w:type="pct"/>
            <w:vAlign w:val="center"/>
          </w:tcPr>
          <w:p>
            <w:pPr>
              <w:jc w:val="center"/>
              <w:rPr>
                <w:sz w:val="21"/>
                <w:szCs w:val="21"/>
              </w:rPr>
            </w:pPr>
            <w:r>
              <w:rPr>
                <w:sz w:val="21"/>
                <w:szCs w:val="21"/>
              </w:rPr>
              <w:t>57</w:t>
            </w:r>
            <w:bookmarkStart w:id="27" w:name="OLE_LINK15"/>
            <w:bookmarkEnd w:id="27"/>
          </w:p>
        </w:tc>
        <w:tc>
          <w:tcPr>
            <w:tcW w:w="933" w:type="pct"/>
            <w:vAlign w:val="center"/>
          </w:tcPr>
          <w:p>
            <w:pPr>
              <w:jc w:val="center"/>
              <w:rPr>
                <w:sz w:val="21"/>
                <w:szCs w:val="21"/>
              </w:rPr>
            </w:pPr>
            <w:r>
              <w:rPr>
                <w:sz w:val="21"/>
                <w:szCs w:val="21"/>
              </w:rPr>
              <w:t>62</w:t>
            </w:r>
          </w:p>
        </w:tc>
        <w:tc>
          <w:tcPr>
            <w:tcW w:w="805" w:type="pct"/>
            <w:vAlign w:val="center"/>
          </w:tcPr>
          <w:p>
            <w:pPr>
              <w:jc w:val="center"/>
              <w:rPr>
                <w:sz w:val="21"/>
                <w:szCs w:val="21"/>
              </w:rPr>
            </w:pPr>
            <w:r>
              <w:rPr>
                <w:sz w:val="21"/>
                <w:szCs w:val="21"/>
              </w:rPr>
              <w:t>50</w:t>
            </w:r>
          </w:p>
        </w:tc>
      </w:tr>
      <w:tr>
        <w:tc>
          <w:tcPr>
            <w:tcW w:w="760" w:type="pct"/>
            <w:vAlign w:val="center"/>
          </w:tcPr>
          <w:p>
            <w:pPr>
              <w:jc w:val="center"/>
              <w:rPr>
                <w:sz w:val="21"/>
                <w:szCs w:val="21"/>
              </w:rPr>
            </w:pPr>
            <w:r>
              <w:rPr>
                <w:rFonts w:hint="eastAsia"/>
                <w:sz w:val="21"/>
                <w:szCs w:val="21"/>
              </w:rPr>
              <w:t>比例（%）</w:t>
            </w:r>
          </w:p>
        </w:tc>
        <w:tc>
          <w:tcPr>
            <w:tcW w:w="763" w:type="pct"/>
            <w:vAlign w:val="center"/>
          </w:tcPr>
          <w:p>
            <w:pPr>
              <w:jc w:val="center"/>
              <w:rPr>
                <w:sz w:val="21"/>
                <w:szCs w:val="21"/>
              </w:rPr>
            </w:pPr>
            <w:r>
              <w:rPr>
                <w:rFonts w:hint="eastAsia"/>
                <w:sz w:val="21"/>
                <w:szCs w:val="21"/>
              </w:rPr>
              <w:t>/</w:t>
            </w:r>
          </w:p>
        </w:tc>
        <w:tc>
          <w:tcPr>
            <w:tcW w:w="806" w:type="pct"/>
            <w:vAlign w:val="center"/>
          </w:tcPr>
          <w:p>
            <w:pPr>
              <w:jc w:val="center"/>
              <w:rPr>
                <w:sz w:val="21"/>
                <w:szCs w:val="21"/>
              </w:rPr>
            </w:pPr>
            <w:r>
              <w:rPr>
                <w:sz w:val="21"/>
                <w:szCs w:val="21"/>
              </w:rPr>
              <w:t>5.59</w:t>
            </w:r>
          </w:p>
        </w:tc>
        <w:tc>
          <w:tcPr>
            <w:tcW w:w="933" w:type="pct"/>
            <w:vAlign w:val="center"/>
          </w:tcPr>
          <w:p>
            <w:pPr>
              <w:jc w:val="center"/>
              <w:rPr>
                <w:sz w:val="21"/>
                <w:szCs w:val="21"/>
              </w:rPr>
            </w:pPr>
            <w:r>
              <w:rPr>
                <w:sz w:val="21"/>
                <w:szCs w:val="21"/>
              </w:rPr>
              <w:t>31.84</w:t>
            </w:r>
            <w:bookmarkStart w:id="28" w:name="OLE_LINK16"/>
            <w:bookmarkEnd w:id="28"/>
          </w:p>
        </w:tc>
        <w:tc>
          <w:tcPr>
            <w:tcW w:w="933" w:type="pct"/>
            <w:vAlign w:val="center"/>
          </w:tcPr>
          <w:p>
            <w:pPr>
              <w:jc w:val="center"/>
              <w:rPr>
                <w:sz w:val="21"/>
                <w:szCs w:val="21"/>
              </w:rPr>
            </w:pPr>
            <w:r>
              <w:rPr>
                <w:sz w:val="21"/>
                <w:szCs w:val="21"/>
              </w:rPr>
              <w:t>34.64</w:t>
            </w:r>
          </w:p>
        </w:tc>
        <w:tc>
          <w:tcPr>
            <w:tcW w:w="805" w:type="pct"/>
            <w:vAlign w:val="center"/>
          </w:tcPr>
          <w:p>
            <w:pPr>
              <w:jc w:val="center"/>
              <w:rPr>
                <w:sz w:val="21"/>
                <w:szCs w:val="21"/>
              </w:rPr>
            </w:pPr>
            <w:r>
              <w:rPr>
                <w:sz w:val="21"/>
                <w:szCs w:val="21"/>
              </w:rPr>
              <w:t>27.93</w:t>
            </w:r>
            <w:bookmarkStart w:id="29" w:name="OLE_LINK17"/>
            <w:bookmarkEnd w:id="29"/>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30" w:name="_Toc154735772"/>
      <w:r>
        <w:rPr>
          <w:rFonts w:ascii="宋体" w:hAnsi="宋体" w:eastAsia="宋体"/>
          <w:b w:val="0"/>
          <w:bCs w:val="0"/>
          <w:sz w:val="24"/>
          <w:szCs w:val="24"/>
        </w:rPr>
        <w:t>3.5专业的核心课程情况</w:t>
      </w:r>
      <w:bookmarkEnd w:id="30"/>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专业的核心课程有：管理学，微观经济学，宏观经济学，会计学，管理信息系统，战略管理，运筹学，养老服务管理概论，健康管理，老年心理学，服务管理与伦理，政治经济学。</w:t>
      </w:r>
    </w:p>
    <w:p/>
    <w:tbl>
      <w:tblPr>
        <w:tblStyle w:val="18"/>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0"/>
        <w:gridCol w:w="1020"/>
        <w:gridCol w:w="1095"/>
        <w:gridCol w:w="1225"/>
        <w:gridCol w:w="859"/>
        <w:gridCol w:w="884"/>
        <w:gridCol w:w="1225"/>
      </w:tblGrid>
      <w:tr>
        <w:trPr>
          <w:trHeight w:val="284" w:hRule="atLeast"/>
          <w:jc w:val="center"/>
        </w:trPr>
        <w:tc>
          <w:tcPr>
            <w:tcW w:w="2750" w:type="dxa"/>
            <w:vAlign w:val="center"/>
          </w:tcPr>
          <w:p>
            <w:pPr>
              <w:jc w:val="center"/>
              <w:rPr>
                <w:rFonts w:ascii="Times New Roman" w:hAnsi="Times New Roman" w:cs="Times New Roman"/>
              </w:rPr>
            </w:pPr>
            <w:r>
              <w:rPr>
                <w:rFonts w:ascii="Times New Roman" w:hAnsi="Times New Roman" w:cs="Times New Roman"/>
                <w:sz w:val="21"/>
                <w:szCs w:val="22"/>
              </w:rPr>
              <w:t>课程名称</w:t>
            </w:r>
          </w:p>
        </w:tc>
        <w:tc>
          <w:tcPr>
            <w:tcW w:w="1020" w:type="dxa"/>
            <w:vAlign w:val="center"/>
          </w:tcPr>
          <w:p>
            <w:pPr>
              <w:jc w:val="center"/>
              <w:rPr>
                <w:rFonts w:ascii="Times New Roman" w:hAnsi="Times New Roman" w:cs="Times New Roman"/>
              </w:rPr>
            </w:pPr>
            <w:r>
              <w:rPr>
                <w:rFonts w:ascii="Times New Roman" w:hAnsi="Times New Roman" w:cs="Times New Roman"/>
                <w:sz w:val="21"/>
                <w:szCs w:val="22"/>
              </w:rPr>
              <w:t>课程号</w:t>
            </w:r>
          </w:p>
        </w:tc>
        <w:tc>
          <w:tcPr>
            <w:tcW w:w="1095" w:type="dxa"/>
            <w:vAlign w:val="center"/>
          </w:tcPr>
          <w:p>
            <w:pPr>
              <w:jc w:val="center"/>
              <w:rPr>
                <w:rFonts w:ascii="Times New Roman" w:hAnsi="Times New Roman" w:cs="Times New Roman"/>
              </w:rPr>
            </w:pPr>
            <w:r>
              <w:rPr>
                <w:rFonts w:ascii="Times New Roman" w:hAnsi="Times New Roman" w:cs="Times New Roman"/>
                <w:sz w:val="21"/>
                <w:szCs w:val="22"/>
              </w:rPr>
              <w:t>课程性质</w:t>
            </w:r>
          </w:p>
        </w:tc>
        <w:tc>
          <w:tcPr>
            <w:tcW w:w="1225" w:type="dxa"/>
            <w:vAlign w:val="center"/>
          </w:tcPr>
          <w:p>
            <w:pPr>
              <w:jc w:val="center"/>
              <w:rPr>
                <w:rFonts w:ascii="Times New Roman" w:hAnsi="Times New Roman" w:cs="Times New Roman"/>
              </w:rPr>
            </w:pPr>
            <w:r>
              <w:rPr>
                <w:rFonts w:ascii="Times New Roman" w:hAnsi="Times New Roman" w:cs="Times New Roman"/>
                <w:sz w:val="21"/>
                <w:szCs w:val="22"/>
              </w:rPr>
              <w:t>课程类别</w:t>
            </w:r>
          </w:p>
        </w:tc>
        <w:tc>
          <w:tcPr>
            <w:tcW w:w="859" w:type="dxa"/>
            <w:vAlign w:val="center"/>
          </w:tcPr>
          <w:p>
            <w:pPr>
              <w:jc w:val="center"/>
              <w:rPr>
                <w:rFonts w:ascii="Times New Roman" w:hAnsi="Times New Roman" w:cs="Times New Roman"/>
              </w:rPr>
            </w:pPr>
            <w:r>
              <w:rPr>
                <w:rFonts w:ascii="Times New Roman" w:hAnsi="Times New Roman" w:cs="Times New Roman"/>
                <w:sz w:val="21"/>
                <w:szCs w:val="22"/>
              </w:rPr>
              <w:t>学分数</w:t>
            </w:r>
          </w:p>
        </w:tc>
        <w:tc>
          <w:tcPr>
            <w:tcW w:w="884" w:type="dxa"/>
            <w:vAlign w:val="center"/>
          </w:tcPr>
          <w:p>
            <w:pPr>
              <w:jc w:val="center"/>
              <w:rPr>
                <w:rFonts w:ascii="Times New Roman" w:hAnsi="Times New Roman" w:cs="Times New Roman"/>
              </w:rPr>
            </w:pPr>
            <w:r>
              <w:rPr>
                <w:rFonts w:ascii="Times New Roman" w:hAnsi="Times New Roman" w:cs="Times New Roman"/>
                <w:sz w:val="21"/>
                <w:szCs w:val="22"/>
              </w:rPr>
              <w:t>学时数</w:t>
            </w:r>
          </w:p>
        </w:tc>
        <w:tc>
          <w:tcPr>
            <w:tcW w:w="1225" w:type="dxa"/>
            <w:vAlign w:val="center"/>
          </w:tcPr>
          <w:p>
            <w:pPr>
              <w:jc w:val="center"/>
              <w:rPr>
                <w:rFonts w:ascii="Times New Roman" w:hAnsi="Times New Roman" w:cs="Times New Roman"/>
              </w:rPr>
            </w:pPr>
            <w:r>
              <w:rPr>
                <w:rFonts w:ascii="Times New Roman" w:hAnsi="Times New Roman" w:cs="Times New Roman"/>
                <w:sz w:val="21"/>
                <w:szCs w:val="22"/>
              </w:rPr>
              <w:t>平均课堂规模</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szCs w:val="20"/>
              </w:rPr>
              <w:t>管理学</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szCs w:val="20"/>
              </w:rPr>
              <w:t>030101</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szCs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szCs w:val="20"/>
              </w:rPr>
              <w:t>专业必修课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szCs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szCs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szCs w:val="20"/>
              </w:rPr>
              <w:t>91.5</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微观经济学</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030207</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专业必修课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3</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48</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81.43</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宏观经济学</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030209</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专业必修课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3</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48</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100.71</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会计学</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030269</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专业必修课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76.4</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管理信息系统</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030534</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专业必修课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75</w:t>
            </w:r>
          </w:p>
        </w:tc>
      </w:tr>
      <w:tr>
        <w:trPr>
          <w:trHeight w:val="284" w:hRule="atLeast"/>
          <w:jc w:val="center"/>
        </w:trPr>
        <w:tc>
          <w:tcPr>
            <w:tcW w:w="2750" w:type="dxa"/>
            <w:vAlign w:val="center"/>
          </w:tcPr>
          <w:p>
            <w:pPr>
              <w:jc w:val="center"/>
              <w:rPr>
                <w:rFonts w:ascii="Times New Roman" w:hAnsi="Times New Roman" w:cs="Times New Roman"/>
                <w:sz w:val="20"/>
              </w:rPr>
            </w:pPr>
            <w:r>
              <w:rPr>
                <w:rFonts w:ascii="Times New Roman" w:hAnsi="Times New Roman" w:cs="Times New Roman"/>
                <w:sz w:val="20"/>
              </w:rPr>
              <w:t>管理信息系统（全英语）</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030594</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专业必修课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47</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战略管理</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033903</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专业必修课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58.75</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运筹学（一）</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033914</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专业选修课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3</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48</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53</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养老服务管理概论</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039901</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专业选修课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51</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健康管理</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039902</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专业选修课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93</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老年心理学</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039903</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专业选修课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60</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服务管理与伦理</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039909</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专业必修课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33</w:t>
            </w:r>
          </w:p>
        </w:tc>
      </w:tr>
      <w:tr>
        <w:trPr>
          <w:trHeight w:val="284" w:hRule="atLeast"/>
          <w:jc w:val="center"/>
        </w:trPr>
        <w:tc>
          <w:tcPr>
            <w:tcW w:w="2750" w:type="dxa"/>
            <w:vAlign w:val="center"/>
          </w:tcPr>
          <w:p>
            <w:pPr>
              <w:jc w:val="center"/>
              <w:rPr>
                <w:rFonts w:ascii="Times New Roman" w:hAnsi="Times New Roman" w:cs="Times New Roman"/>
                <w:sz w:val="20"/>
                <w:szCs w:val="20"/>
              </w:rPr>
            </w:pPr>
            <w:r>
              <w:rPr>
                <w:rFonts w:ascii="Times New Roman" w:hAnsi="Times New Roman" w:cs="Times New Roman"/>
                <w:sz w:val="20"/>
              </w:rPr>
              <w:t>政治经济学</w:t>
            </w:r>
          </w:p>
        </w:tc>
        <w:tc>
          <w:tcPr>
            <w:tcW w:w="1020" w:type="dxa"/>
            <w:vAlign w:val="center"/>
          </w:tcPr>
          <w:p>
            <w:pPr>
              <w:jc w:val="center"/>
              <w:rPr>
                <w:rFonts w:ascii="Times New Roman" w:hAnsi="Times New Roman" w:cs="Times New Roman"/>
                <w:sz w:val="20"/>
                <w:szCs w:val="20"/>
              </w:rPr>
            </w:pPr>
            <w:r>
              <w:rPr>
                <w:rFonts w:ascii="Times New Roman" w:hAnsi="Times New Roman" w:cs="Times New Roman"/>
                <w:sz w:val="20"/>
              </w:rPr>
              <w:t>220206</w:t>
            </w:r>
          </w:p>
        </w:tc>
        <w:tc>
          <w:tcPr>
            <w:tcW w:w="1095" w:type="dxa"/>
            <w:vAlign w:val="center"/>
          </w:tcPr>
          <w:p>
            <w:pPr>
              <w:jc w:val="center"/>
              <w:rPr>
                <w:rFonts w:ascii="Times New Roman" w:hAnsi="Times New Roman" w:cs="Times New Roman"/>
                <w:sz w:val="20"/>
                <w:szCs w:val="20"/>
              </w:rPr>
            </w:pPr>
            <w:r>
              <w:rPr>
                <w:rFonts w:ascii="Times New Roman" w:hAnsi="Times New Roman" w:cs="Times New Roman"/>
                <w:sz w:val="20"/>
              </w:rPr>
              <w:t>理论课</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专业选修课</w:t>
            </w:r>
          </w:p>
        </w:tc>
        <w:tc>
          <w:tcPr>
            <w:tcW w:w="859" w:type="dxa"/>
            <w:vAlign w:val="center"/>
          </w:tcPr>
          <w:p>
            <w:pPr>
              <w:jc w:val="center"/>
              <w:rPr>
                <w:rFonts w:ascii="Times New Roman" w:hAnsi="Times New Roman" w:cs="Times New Roman"/>
                <w:sz w:val="20"/>
                <w:szCs w:val="20"/>
              </w:rPr>
            </w:pPr>
            <w:r>
              <w:rPr>
                <w:rFonts w:ascii="Times New Roman" w:hAnsi="Times New Roman" w:cs="Times New Roman"/>
                <w:sz w:val="20"/>
              </w:rPr>
              <w:t>2</w:t>
            </w:r>
          </w:p>
        </w:tc>
        <w:tc>
          <w:tcPr>
            <w:tcW w:w="884" w:type="dxa"/>
            <w:vAlign w:val="center"/>
          </w:tcPr>
          <w:p>
            <w:pPr>
              <w:jc w:val="center"/>
              <w:rPr>
                <w:rFonts w:ascii="Times New Roman" w:hAnsi="Times New Roman" w:cs="Times New Roman"/>
                <w:sz w:val="20"/>
                <w:szCs w:val="20"/>
              </w:rPr>
            </w:pPr>
            <w:r>
              <w:rPr>
                <w:rFonts w:ascii="Times New Roman" w:hAnsi="Times New Roman" w:cs="Times New Roman"/>
                <w:sz w:val="20"/>
              </w:rPr>
              <w:t>32</w:t>
            </w:r>
          </w:p>
        </w:tc>
        <w:tc>
          <w:tcPr>
            <w:tcW w:w="1225" w:type="dxa"/>
            <w:vAlign w:val="center"/>
          </w:tcPr>
          <w:p>
            <w:pPr>
              <w:jc w:val="center"/>
              <w:rPr>
                <w:rFonts w:ascii="Times New Roman" w:hAnsi="Times New Roman" w:cs="Times New Roman"/>
                <w:sz w:val="20"/>
                <w:szCs w:val="20"/>
              </w:rPr>
            </w:pPr>
            <w:r>
              <w:rPr>
                <w:rFonts w:ascii="Times New Roman" w:hAnsi="Times New Roman" w:cs="Times New Roman"/>
                <w:sz w:val="20"/>
              </w:rPr>
              <w:t>114</w:t>
            </w:r>
          </w:p>
        </w:tc>
      </w:tr>
    </w:tbl>
    <w:p/>
    <w:p>
      <w:r>
        <w:rPr>
          <w:rFonts w:hint="eastAsia"/>
        </w:rPr>
        <w:t>※以上数据来源：表</w:t>
      </w:r>
      <w:r>
        <w:t xml:space="preserve"> 5-1-1开课情况、表 5-1-2 专业课教学实施情况。</w:t>
      </w:r>
    </w:p>
    <w:p/>
    <w:p>
      <w:pPr>
        <w:pStyle w:val="4"/>
        <w:rPr>
          <w:rFonts w:ascii="宋体" w:hAnsi="宋体" w:eastAsia="宋体"/>
          <w:b w:val="0"/>
          <w:bCs w:val="0"/>
          <w:sz w:val="24"/>
          <w:szCs w:val="24"/>
        </w:rPr>
      </w:pPr>
      <w:bookmarkStart w:id="31" w:name="_Toc154735773"/>
      <w:r>
        <w:rPr>
          <w:rFonts w:ascii="宋体" w:hAnsi="宋体" w:eastAsia="宋体"/>
          <w:b w:val="0"/>
          <w:bCs w:val="0"/>
          <w:sz w:val="24"/>
          <w:szCs w:val="24"/>
        </w:rPr>
        <w:t>3.6实验教学情况</w:t>
      </w:r>
      <w:bookmarkEnd w:id="31"/>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实验教学学分为8</w:t>
      </w:r>
      <w:r>
        <w:rPr>
          <w:rFonts w:ascii="仿宋" w:hAnsi="仿宋" w:eastAsia="仿宋" w:cstheme="minorBidi"/>
          <w:kern w:val="2"/>
        </w:rPr>
        <w:t>.12</w:t>
      </w:r>
      <w:r>
        <w:rPr>
          <w:rFonts w:hint="eastAsia" w:ascii="仿宋" w:hAnsi="仿宋" w:eastAsia="仿宋" w:cstheme="minorBidi"/>
          <w:kern w:val="2"/>
        </w:rPr>
        <w:t>，学年内开设实验课门数2门，实验课程平均课堂规模3</w:t>
      </w:r>
      <w:r>
        <w:rPr>
          <w:rFonts w:ascii="仿宋" w:hAnsi="仿宋" w:eastAsia="仿宋" w:cstheme="minorBidi"/>
          <w:kern w:val="2"/>
        </w:rPr>
        <w:t>2</w:t>
      </w:r>
      <w:r>
        <w:rPr>
          <w:rFonts w:hint="eastAsia" w:ascii="仿宋" w:hAnsi="仿宋" w:eastAsia="仿宋" w:cstheme="minorBidi"/>
          <w:kern w:val="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c>
          <w:tcPr>
            <w:tcW w:w="4148" w:type="dxa"/>
            <w:vAlign w:val="center"/>
          </w:tcPr>
          <w:p>
            <w:pPr>
              <w:jc w:val="center"/>
              <w:rPr>
                <w:sz w:val="21"/>
                <w:szCs w:val="21"/>
              </w:rPr>
            </w:pPr>
            <w:r>
              <w:rPr>
                <w:rFonts w:hint="eastAsia"/>
                <w:sz w:val="21"/>
                <w:szCs w:val="21"/>
              </w:rPr>
              <w:t>实验教学学分</w:t>
            </w:r>
          </w:p>
        </w:tc>
        <w:tc>
          <w:tcPr>
            <w:tcW w:w="4148" w:type="dxa"/>
            <w:vAlign w:val="center"/>
          </w:tcPr>
          <w:p>
            <w:pPr>
              <w:jc w:val="center"/>
              <w:rPr>
                <w:sz w:val="21"/>
                <w:szCs w:val="21"/>
              </w:rPr>
            </w:pPr>
            <w:r>
              <w:rPr>
                <w:rFonts w:cs="Noto Sans Mono CJK JP Regular"/>
                <w:sz w:val="21"/>
                <w:szCs w:val="21"/>
              </w:rPr>
              <w:t>8.12</w:t>
            </w:r>
            <w:bookmarkStart w:id="32" w:name="OLE_LINK18"/>
            <w:bookmarkEnd w:id="32"/>
          </w:p>
        </w:tc>
      </w:tr>
      <w:tr>
        <w:tc>
          <w:tcPr>
            <w:tcW w:w="4148" w:type="dxa"/>
            <w:vAlign w:val="center"/>
          </w:tcPr>
          <w:p>
            <w:pPr>
              <w:jc w:val="center"/>
              <w:rPr>
                <w:sz w:val="21"/>
                <w:szCs w:val="21"/>
              </w:rPr>
            </w:pPr>
            <w:r>
              <w:rPr>
                <w:rFonts w:hint="eastAsia"/>
                <w:sz w:val="21"/>
                <w:szCs w:val="21"/>
              </w:rPr>
              <w:t>占总学分（％）</w:t>
            </w:r>
          </w:p>
        </w:tc>
        <w:tc>
          <w:tcPr>
            <w:tcW w:w="4148" w:type="dxa"/>
            <w:vAlign w:val="center"/>
          </w:tcPr>
          <w:p>
            <w:pPr>
              <w:jc w:val="center"/>
              <w:rPr>
                <w:sz w:val="21"/>
                <w:szCs w:val="21"/>
              </w:rPr>
            </w:pPr>
            <w:r>
              <w:rPr>
                <w:rFonts w:cs="Noto Sans Mono CJK JP Regular"/>
                <w:sz w:val="21"/>
                <w:szCs w:val="21"/>
              </w:rPr>
              <w:t>5.21</w:t>
            </w:r>
          </w:p>
        </w:tc>
      </w:tr>
      <w:tr>
        <w:tc>
          <w:tcPr>
            <w:tcW w:w="4148" w:type="dxa"/>
            <w:vAlign w:val="center"/>
          </w:tcPr>
          <w:p>
            <w:pPr>
              <w:jc w:val="center"/>
              <w:rPr>
                <w:sz w:val="21"/>
                <w:szCs w:val="21"/>
              </w:rPr>
            </w:pPr>
            <w:r>
              <w:rPr>
                <w:rFonts w:hint="eastAsia"/>
                <w:sz w:val="21"/>
                <w:szCs w:val="21"/>
              </w:rPr>
              <w:t>学年内开设实验课门数</w:t>
            </w:r>
          </w:p>
        </w:tc>
        <w:tc>
          <w:tcPr>
            <w:tcW w:w="4148" w:type="dxa"/>
            <w:vAlign w:val="center"/>
          </w:tcPr>
          <w:p>
            <w:pPr>
              <w:jc w:val="center"/>
              <w:rPr>
                <w:sz w:val="21"/>
                <w:szCs w:val="21"/>
              </w:rPr>
            </w:pPr>
            <w:r>
              <w:rPr>
                <w:sz w:val="21"/>
                <w:szCs w:val="21"/>
              </w:rPr>
              <w:t>2</w:t>
            </w:r>
          </w:p>
        </w:tc>
      </w:tr>
      <w:tr>
        <w:tc>
          <w:tcPr>
            <w:tcW w:w="4148" w:type="dxa"/>
            <w:vAlign w:val="center"/>
          </w:tcPr>
          <w:p>
            <w:pPr>
              <w:jc w:val="center"/>
              <w:rPr>
                <w:sz w:val="21"/>
                <w:szCs w:val="21"/>
              </w:rPr>
            </w:pPr>
            <w:r>
              <w:rPr>
                <w:rFonts w:hint="eastAsia"/>
                <w:sz w:val="21"/>
                <w:szCs w:val="21"/>
              </w:rPr>
              <w:t>实验课程平均课堂规模</w:t>
            </w:r>
          </w:p>
        </w:tc>
        <w:tc>
          <w:tcPr>
            <w:tcW w:w="4148" w:type="dxa"/>
            <w:vAlign w:val="center"/>
          </w:tcPr>
          <w:p>
            <w:pPr>
              <w:jc w:val="center"/>
              <w:rPr>
                <w:sz w:val="21"/>
                <w:szCs w:val="21"/>
              </w:rPr>
            </w:pPr>
            <w:r>
              <w:rPr>
                <w:sz w:val="21"/>
                <w:szCs w:val="21"/>
              </w:rPr>
              <w:t>32</w:t>
            </w:r>
          </w:p>
        </w:tc>
      </w:tr>
      <w:tr>
        <w:tc>
          <w:tcPr>
            <w:tcW w:w="4148" w:type="dxa"/>
            <w:vAlign w:val="center"/>
          </w:tcPr>
          <w:p>
            <w:pPr>
              <w:jc w:val="center"/>
              <w:rPr>
                <w:sz w:val="21"/>
                <w:szCs w:val="21"/>
              </w:rPr>
            </w:pPr>
            <w:r>
              <w:rPr>
                <w:rFonts w:hint="eastAsia"/>
                <w:sz w:val="21"/>
                <w:szCs w:val="21"/>
              </w:rPr>
              <w:t>专业实验教学仪器设备值</w:t>
            </w:r>
          </w:p>
        </w:tc>
        <w:tc>
          <w:tcPr>
            <w:tcW w:w="4148" w:type="dxa"/>
            <w:vAlign w:val="center"/>
          </w:tcPr>
          <w:p>
            <w:pPr>
              <w:jc w:val="center"/>
              <w:rPr>
                <w:sz w:val="21"/>
                <w:szCs w:val="21"/>
              </w:rPr>
            </w:pPr>
            <w:r>
              <w:rPr>
                <w:sz w:val="21"/>
                <w:szCs w:val="21"/>
              </w:rPr>
              <w:t>0</w:t>
            </w:r>
          </w:p>
        </w:tc>
      </w:tr>
    </w:tbl>
    <w:p/>
    <w:p>
      <w:r>
        <w:rPr>
          <w:rFonts w:hint="eastAsia"/>
        </w:rPr>
        <w:t>※以上数据来源：表</w:t>
      </w:r>
      <w:r>
        <w:t xml:space="preserve"> 4-2 专业培养计划表</w:t>
      </w:r>
      <w:r>
        <w:rPr>
          <w:rFonts w:hint="eastAsia"/>
        </w:rPr>
        <w:t>、表</w:t>
      </w:r>
      <w:r>
        <w:t xml:space="preserve"> 5-1-1开课情况、表 5-1-2 专业课教学实施情况</w:t>
      </w:r>
      <w:r>
        <w:rPr>
          <w:rFonts w:hint="eastAsia"/>
        </w:rPr>
        <w:t>、表</w:t>
      </w:r>
      <w:r>
        <w:t xml:space="preserve"> 5-1-3 分专业（大类）专业实验课情况</w:t>
      </w:r>
    </w:p>
    <w:p/>
    <w:p>
      <w:pPr>
        <w:pStyle w:val="4"/>
        <w:rPr>
          <w:rFonts w:ascii="宋体" w:hAnsi="宋体" w:eastAsia="宋体"/>
          <w:b w:val="0"/>
          <w:bCs w:val="0"/>
          <w:sz w:val="24"/>
          <w:szCs w:val="24"/>
        </w:rPr>
      </w:pPr>
      <w:bookmarkStart w:id="33" w:name="_Toc154735774"/>
      <w:r>
        <w:rPr>
          <w:rFonts w:ascii="宋体" w:hAnsi="宋体" w:eastAsia="宋体"/>
          <w:b w:val="0"/>
          <w:bCs w:val="0"/>
          <w:sz w:val="24"/>
          <w:szCs w:val="24"/>
        </w:rPr>
        <w:t>3.7</w:t>
      </w:r>
      <w:r>
        <w:rPr>
          <w:rFonts w:hint="eastAsia" w:ascii="宋体" w:hAnsi="宋体" w:eastAsia="宋体"/>
          <w:b w:val="0"/>
          <w:bCs w:val="0"/>
          <w:sz w:val="24"/>
          <w:szCs w:val="24"/>
        </w:rPr>
        <w:t>实践教学情况</w:t>
      </w:r>
      <w:bookmarkEnd w:id="33"/>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学生的实习采用专业实习、产学合作实习等多种形式。各类实习目的明确，实习内容具体，对每届学生实习都要求有实习计划、实习大纲、实习指导书、实习报告、实习总结。加强对专业实习指导的过程管理，联系专门的实习基地，有实习教师负责指导。</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已建成校外多个稳定的实习基地，确保学生专业实践与实习的需要。在见习、实习管理上，实行“基地双重管理，实训双重指导”，与学院共同管理学生，学院、实习单位双方各指定一名指导老师，保障实习见习工作按计划开展。</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目前本专业已与7家企业签订了实习、产学研合作协议，建立了稳定的实习基地或实训基地，为本专业学生开展实习、实践、产学合作教育提供了保障。本专业实习基地能保证每学期至少有1批学生在基地实习与实践。目前已有3个年级的学生在不同机构进行了实习实践，实习情况整理良好。</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 xml:space="preserve"> </w:t>
      </w:r>
      <w:r>
        <w:rPr>
          <w:rFonts w:ascii="仿宋" w:hAnsi="仿宋" w:eastAsia="仿宋" w:cstheme="minorBidi"/>
          <w:kern w:val="2"/>
        </w:rPr>
        <w:t xml:space="preserve"> </w:t>
      </w:r>
      <w:r>
        <w:rPr>
          <w:rFonts w:hint="eastAsia" w:ascii="仿宋" w:hAnsi="仿宋" w:eastAsia="仿宋" w:cstheme="minorBidi"/>
          <w:kern w:val="2"/>
        </w:rPr>
        <w:t>具体而言，专业开设了以下实习实践课程：</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w:t>
      </w:r>
      <w:r>
        <w:rPr>
          <w:rFonts w:ascii="仿宋" w:hAnsi="仿宋" w:eastAsia="仿宋" w:cstheme="minorBidi"/>
          <w:kern w:val="2"/>
        </w:rPr>
        <w:t>1）工程训练E：第二学期，安排2周</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工程基础训练的目的是了解现代工程技术发展的趋势和现状，掌握机械加工的基本技能，提高学生的实际动手能力。</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w:t>
      </w:r>
      <w:r>
        <w:rPr>
          <w:rFonts w:ascii="仿宋" w:hAnsi="仿宋" w:eastAsia="仿宋" w:cstheme="minorBidi"/>
          <w:kern w:val="2"/>
        </w:rPr>
        <w:t>2）养老机构管理综合实习（一）：第三学期，安排2 周</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实习旨在通过对养老机构运营管理的观察和调研，巩固学生所掌握的养老机构运营管理方面的基本知识，要求对调研记录和分析，了解养老机构运营环节，并能就养老机构运营的合理性进行科学总结。要求学生递交实习报告。</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w:t>
      </w:r>
      <w:r>
        <w:rPr>
          <w:rFonts w:ascii="仿宋" w:hAnsi="仿宋" w:eastAsia="仿宋" w:cstheme="minorBidi"/>
          <w:kern w:val="2"/>
        </w:rPr>
        <w:t>3）智能养老服务管理平台：第五学期，安排2周</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实习旨在通过学生对智能养老机构综合系统模拟的实际操作，使学生掌握企业沙盘推演技巧，模拟养老机构管理情景进行演练，同时结合模拟经验进入养老机构参观实习，巩固学生所学的战略管理、市场营销学、财务管理等企业管理实务型课程所学的知识，了解智能养老机构综合运营的相关流程、战略制定以及决策过程的相关内容，锻炼思维创新能力、战略决策能力和全面运营能力。要求学生递交实习报告。</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w:t>
      </w:r>
      <w:r>
        <w:rPr>
          <w:rFonts w:ascii="仿宋" w:hAnsi="仿宋" w:eastAsia="仿宋" w:cstheme="minorBidi"/>
          <w:kern w:val="2"/>
        </w:rPr>
        <w:t>4）养老服务专题调研实习：第六学期，安排2周</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通过养老服务中热点问题，开展深入调研，积极参加为老服务志愿服务，使学生掌握养老服务知识，并能够熟练运用在实践问题的分析与解决上，增强学生对养老服务相关问题的认知，培养关爱老人的信心本实习包含</w:t>
      </w:r>
      <w:r>
        <w:rPr>
          <w:rFonts w:ascii="仿宋" w:hAnsi="仿宋" w:eastAsia="仿宋" w:cstheme="minorBidi"/>
          <w:kern w:val="2"/>
        </w:rPr>
        <w:t>1</w:t>
      </w:r>
      <w:r>
        <w:rPr>
          <w:rFonts w:hint="eastAsia" w:ascii="仿宋" w:hAnsi="仿宋" w:eastAsia="仿宋" w:cstheme="minorBidi"/>
          <w:kern w:val="2"/>
        </w:rPr>
        <w:t>学分的劳动教育与实践类课程。要求学生递交实习报告。</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w:t>
      </w:r>
      <w:r>
        <w:rPr>
          <w:rFonts w:ascii="仿宋" w:hAnsi="仿宋" w:eastAsia="仿宋" w:cstheme="minorBidi"/>
          <w:kern w:val="2"/>
        </w:rPr>
        <w:t>5）养老院顶岗实习：第六学期，安排2周</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本实习旨在通过学生在养老院顶岗工作，使学生全面地熟悉适应养老院的管理岗位工作。</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w:t>
      </w:r>
      <w:r>
        <w:rPr>
          <w:rFonts w:ascii="仿宋" w:hAnsi="仿宋" w:eastAsia="仿宋" w:cstheme="minorBidi"/>
          <w:kern w:val="2"/>
        </w:rPr>
        <w:t>6）社区为老服务实践：第七学期，安排2周</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实习旨在鼓励学生立足社区，提供为老志愿服务，以营造积极老龄社会氛围和促进社会和谐为目标，从老年人生活需求出发，开展关爱老人的服务活动，进一步体会为老服务应根植于实践，鼓励学生在社区内提供生活照料、心理安慰、健康养护、应急救助等为老服务，主动营造积极老龄氛围。要求学生递交调研实践报告总结心得体会。</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（7）</w:t>
      </w:r>
      <w:r>
        <w:rPr>
          <w:rFonts w:ascii="仿宋" w:hAnsi="仿宋" w:eastAsia="仿宋" w:cstheme="minorBidi"/>
          <w:kern w:val="2"/>
        </w:rPr>
        <w:t>劳动教育实践</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本实习包含</w:t>
      </w:r>
      <w:r>
        <w:rPr>
          <w:rFonts w:ascii="仿宋" w:hAnsi="仿宋" w:eastAsia="仿宋" w:cstheme="minorBidi"/>
          <w:kern w:val="2"/>
        </w:rPr>
        <w:t>1学分的劳动教育</w:t>
      </w:r>
      <w:r>
        <w:rPr>
          <w:rFonts w:hint="eastAsia" w:ascii="仿宋" w:hAnsi="仿宋" w:eastAsia="仿宋" w:cstheme="minorBidi"/>
          <w:kern w:val="2"/>
        </w:rPr>
        <w:t>与实践类课程。通过学生参与志愿服务实现，要求学生递交实习报告。</w:t>
      </w:r>
    </w:p>
    <w:p>
      <w:pPr>
        <w:pStyle w:val="4"/>
        <w:rPr>
          <w:rFonts w:ascii="宋体" w:hAnsi="宋体" w:eastAsia="宋体"/>
          <w:b w:val="0"/>
          <w:bCs w:val="0"/>
          <w:sz w:val="24"/>
          <w:szCs w:val="24"/>
        </w:rPr>
      </w:pPr>
      <w:bookmarkStart w:id="34" w:name="_Toc154735775"/>
      <w:r>
        <w:rPr>
          <w:rFonts w:ascii="宋体" w:hAnsi="宋体" w:eastAsia="宋体"/>
          <w:b w:val="0"/>
          <w:bCs w:val="0"/>
          <w:sz w:val="24"/>
          <w:szCs w:val="24"/>
        </w:rPr>
        <w:t>3.8</w:t>
      </w:r>
      <w:r>
        <w:rPr>
          <w:rFonts w:hint="eastAsia" w:ascii="宋体" w:hAnsi="宋体" w:eastAsia="宋体"/>
          <w:b w:val="0"/>
          <w:bCs w:val="0"/>
          <w:sz w:val="24"/>
          <w:szCs w:val="24"/>
        </w:rPr>
        <w:t>创新创业教育</w:t>
      </w:r>
      <w:bookmarkEnd w:id="34"/>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本专业目前开设创新创业训练课程</w:t>
      </w:r>
      <w:r>
        <w:rPr>
          <w:rFonts w:ascii="仿宋" w:hAnsi="仿宋" w:eastAsia="仿宋" w:cstheme="minorBidi"/>
          <w:kern w:val="2"/>
        </w:rPr>
        <w:t>2门，其中创新实践课程1门；指导大学生创新项目8项，国家级1、市级6项、校级1项，指导大学生创业实践计划项目2项；例如罗娟、陈芳芳、王玮、刘丽婷、陈晓华等老师本学年专业开设经管类专业导论，每人负责其中的1次课；同时在学院带队下，和2020级学生一起参观了人寿堂养老集团，并进行了暑期顶岗实习。</w:t>
      </w:r>
    </w:p>
    <w:p>
      <w:pPr>
        <w:pStyle w:val="4"/>
        <w:rPr>
          <w:rFonts w:ascii="宋体" w:hAnsi="宋体" w:eastAsia="宋体"/>
          <w:b w:val="0"/>
          <w:bCs w:val="0"/>
          <w:sz w:val="24"/>
          <w:szCs w:val="24"/>
        </w:rPr>
      </w:pPr>
      <w:bookmarkStart w:id="35" w:name="_Toc154735776"/>
      <w:r>
        <w:rPr>
          <w:rFonts w:ascii="宋体" w:hAnsi="宋体" w:eastAsia="宋体"/>
          <w:b w:val="0"/>
          <w:bCs w:val="0"/>
          <w:sz w:val="24"/>
          <w:szCs w:val="24"/>
        </w:rPr>
        <w:t>3.9学生毕业综合训练情况</w:t>
      </w:r>
      <w:bookmarkEnd w:id="35"/>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大四学生整体实习情况良好。学生进行产学实习具体单位有上海长宁万宏悦馨第一养老院、人寿堂柠嘉养老院、福汇江川护理站、徐汇区健汇护理站、上海健嘉护理站、国药康养实业（上海）有限公司、仙霞新村街道社区综合为老服务中心等。学生在机构不同岗位学习锻炼，收获颇丰。通过实践的方式将所学知识内化，熟悉养老院管理模式与部门工作，提高养老服务专业大学生的业务素质与动手能力，增强运用专业理论知识解决现实复杂问题的能力，坚持并强化教育与生产劳动相结合的人才培养方式，克服高等教育人才培养重理论轻实践的弊端，激发学生学习兴趣，同时加强了学习与工作的联系。</w:t>
      </w:r>
    </w:p>
    <w:tbl>
      <w:tblPr>
        <w:tblStyle w:val="18"/>
        <w:tblpPr w:leftFromText="180" w:rightFromText="180" w:vertAnchor="text" w:horzAnchor="margin" w:tblpY="3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095"/>
        <w:gridCol w:w="930"/>
      </w:tblGrid>
      <w:tr>
        <w:tc>
          <w:tcPr>
            <w:tcW w:w="7366" w:type="dxa"/>
            <w:gridSpan w:val="2"/>
            <w:vAlign w:val="center"/>
          </w:tcPr>
          <w:p>
            <w:pPr>
              <w:jc w:val="center"/>
              <w:rPr>
                <w:sz w:val="22"/>
                <w:szCs w:val="22"/>
              </w:rPr>
            </w:pPr>
            <w:r>
              <w:rPr>
                <w:rFonts w:hint="eastAsia"/>
                <w:sz w:val="22"/>
                <w:szCs w:val="22"/>
              </w:rPr>
              <w:t>项目</w:t>
            </w:r>
          </w:p>
        </w:tc>
        <w:tc>
          <w:tcPr>
            <w:tcW w:w="930" w:type="dxa"/>
            <w:vAlign w:val="center"/>
          </w:tcPr>
          <w:p>
            <w:pPr>
              <w:jc w:val="center"/>
              <w:rPr>
                <w:sz w:val="22"/>
                <w:szCs w:val="22"/>
              </w:rPr>
            </w:pPr>
            <w:r>
              <w:rPr>
                <w:rFonts w:hint="eastAsia"/>
                <w:sz w:val="22"/>
                <w:szCs w:val="22"/>
              </w:rPr>
              <w:t>数量</w:t>
            </w:r>
          </w:p>
        </w:tc>
      </w:tr>
      <w:tr>
        <w:tc>
          <w:tcPr>
            <w:tcW w:w="1271" w:type="dxa"/>
            <w:vMerge w:val="restart"/>
            <w:vAlign w:val="center"/>
          </w:tcPr>
          <w:p>
            <w:pPr>
              <w:jc w:val="center"/>
              <w:rPr>
                <w:sz w:val="22"/>
                <w:szCs w:val="22"/>
              </w:rPr>
            </w:pPr>
            <w:r>
              <w:rPr>
                <w:rFonts w:hint="eastAsia"/>
                <w:sz w:val="22"/>
                <w:szCs w:val="22"/>
              </w:rPr>
              <w:t>毕业综合训练课题（个）</w:t>
            </w:r>
          </w:p>
        </w:tc>
        <w:tc>
          <w:tcPr>
            <w:tcW w:w="6095" w:type="dxa"/>
            <w:vAlign w:val="center"/>
          </w:tcPr>
          <w:p>
            <w:pPr>
              <w:jc w:val="center"/>
              <w:rPr>
                <w:sz w:val="22"/>
                <w:szCs w:val="22"/>
              </w:rPr>
            </w:pPr>
            <w:r>
              <w:rPr>
                <w:rFonts w:hint="eastAsia"/>
                <w:sz w:val="22"/>
                <w:szCs w:val="22"/>
              </w:rPr>
              <w:t>总数</w:t>
            </w:r>
          </w:p>
        </w:tc>
        <w:tc>
          <w:tcPr>
            <w:tcW w:w="930" w:type="dxa"/>
            <w:vAlign w:val="center"/>
          </w:tcPr>
          <w:p>
            <w:pPr>
              <w:jc w:val="center"/>
              <w:rPr>
                <w:sz w:val="22"/>
                <w:szCs w:val="22"/>
              </w:rPr>
            </w:pPr>
            <w:r>
              <w:rPr>
                <w:sz w:val="22"/>
                <w:szCs w:val="22"/>
              </w:rPr>
              <w:t>34</w:t>
            </w:r>
          </w:p>
        </w:tc>
      </w:tr>
      <w:tr>
        <w:tc>
          <w:tcPr>
            <w:tcW w:w="1271" w:type="dxa"/>
            <w:vMerge w:val="continue"/>
            <w:vAlign w:val="center"/>
          </w:tcPr>
          <w:p>
            <w:pPr>
              <w:jc w:val="center"/>
              <w:rPr>
                <w:sz w:val="22"/>
                <w:szCs w:val="22"/>
              </w:rPr>
            </w:pPr>
          </w:p>
        </w:tc>
        <w:tc>
          <w:tcPr>
            <w:tcW w:w="6095" w:type="dxa"/>
            <w:vAlign w:val="center"/>
          </w:tcPr>
          <w:p>
            <w:pPr>
              <w:jc w:val="center"/>
              <w:rPr>
                <w:sz w:val="22"/>
                <w:szCs w:val="22"/>
              </w:rPr>
            </w:pPr>
            <w:r>
              <w:rPr>
                <w:rFonts w:hint="eastAsia"/>
                <w:sz w:val="22"/>
                <w:szCs w:val="22"/>
              </w:rPr>
              <w:t>其中：在实验、实习、社会调查等社会实践中完成数</w:t>
            </w:r>
          </w:p>
        </w:tc>
        <w:tc>
          <w:tcPr>
            <w:tcW w:w="930" w:type="dxa"/>
            <w:vAlign w:val="center"/>
          </w:tcPr>
          <w:p>
            <w:pPr>
              <w:jc w:val="center"/>
              <w:rPr>
                <w:sz w:val="22"/>
                <w:szCs w:val="22"/>
              </w:rPr>
            </w:pPr>
            <w:r>
              <w:rPr>
                <w:sz w:val="22"/>
                <w:szCs w:val="22"/>
              </w:rPr>
              <w:t>34</w:t>
            </w:r>
          </w:p>
        </w:tc>
      </w:tr>
      <w:tr>
        <w:tc>
          <w:tcPr>
            <w:tcW w:w="1271" w:type="dxa"/>
            <w:vMerge w:val="continue"/>
            <w:vAlign w:val="center"/>
          </w:tcPr>
          <w:p>
            <w:pPr>
              <w:jc w:val="center"/>
              <w:rPr>
                <w:sz w:val="22"/>
                <w:szCs w:val="22"/>
              </w:rPr>
            </w:pPr>
          </w:p>
        </w:tc>
        <w:tc>
          <w:tcPr>
            <w:tcW w:w="6095" w:type="dxa"/>
            <w:vAlign w:val="center"/>
          </w:tcPr>
          <w:p>
            <w:pPr>
              <w:jc w:val="center"/>
              <w:rPr>
                <w:sz w:val="22"/>
                <w:szCs w:val="22"/>
              </w:rPr>
            </w:pPr>
            <w:r>
              <w:rPr>
                <w:rFonts w:hint="eastAsia"/>
                <w:sz w:val="22"/>
                <w:szCs w:val="22"/>
              </w:rPr>
              <w:t>其中：在实验、实习、社会调查等社会实践中完成比例（</w:t>
            </w:r>
            <w:r>
              <w:rPr>
                <w:sz w:val="22"/>
                <w:szCs w:val="22"/>
              </w:rPr>
              <w:t>%）</w:t>
            </w:r>
          </w:p>
        </w:tc>
        <w:tc>
          <w:tcPr>
            <w:tcW w:w="930" w:type="dxa"/>
            <w:vAlign w:val="center"/>
          </w:tcPr>
          <w:p>
            <w:pPr>
              <w:jc w:val="center"/>
              <w:rPr>
                <w:sz w:val="22"/>
                <w:szCs w:val="22"/>
              </w:rPr>
            </w:pPr>
            <w:r>
              <w:rPr>
                <w:sz w:val="22"/>
                <w:szCs w:val="22"/>
              </w:rPr>
              <w:t>100%</w:t>
            </w:r>
          </w:p>
        </w:tc>
      </w:tr>
      <w:tr>
        <w:tc>
          <w:tcPr>
            <w:tcW w:w="1271" w:type="dxa"/>
            <w:vMerge w:val="restart"/>
            <w:vAlign w:val="center"/>
          </w:tcPr>
          <w:p>
            <w:pPr>
              <w:jc w:val="center"/>
              <w:rPr>
                <w:sz w:val="22"/>
                <w:szCs w:val="22"/>
              </w:rPr>
            </w:pPr>
            <w:r>
              <w:rPr>
                <w:rFonts w:hint="eastAsia"/>
                <w:sz w:val="22"/>
                <w:szCs w:val="22"/>
              </w:rPr>
              <w:t>指导教师数</w:t>
            </w:r>
          </w:p>
        </w:tc>
        <w:tc>
          <w:tcPr>
            <w:tcW w:w="6095" w:type="dxa"/>
            <w:vAlign w:val="center"/>
          </w:tcPr>
          <w:p>
            <w:pPr>
              <w:jc w:val="center"/>
              <w:rPr>
                <w:sz w:val="22"/>
                <w:szCs w:val="22"/>
              </w:rPr>
            </w:pPr>
            <w:r>
              <w:rPr>
                <w:rFonts w:hint="eastAsia"/>
                <w:sz w:val="22"/>
                <w:szCs w:val="22"/>
              </w:rPr>
              <w:t>本专业教师</w:t>
            </w:r>
          </w:p>
        </w:tc>
        <w:tc>
          <w:tcPr>
            <w:tcW w:w="930" w:type="dxa"/>
            <w:vAlign w:val="center"/>
          </w:tcPr>
          <w:p>
            <w:pPr>
              <w:jc w:val="center"/>
              <w:rPr>
                <w:sz w:val="22"/>
                <w:szCs w:val="22"/>
              </w:rPr>
            </w:pPr>
            <w:r>
              <w:rPr>
                <w:sz w:val="22"/>
                <w:szCs w:val="22"/>
              </w:rPr>
              <w:t>8</w:t>
            </w:r>
          </w:p>
        </w:tc>
      </w:tr>
      <w:tr>
        <w:tc>
          <w:tcPr>
            <w:tcW w:w="1271" w:type="dxa"/>
            <w:vMerge w:val="continue"/>
            <w:vAlign w:val="center"/>
          </w:tcPr>
          <w:p>
            <w:pPr>
              <w:jc w:val="center"/>
              <w:rPr>
                <w:sz w:val="22"/>
                <w:szCs w:val="22"/>
              </w:rPr>
            </w:pPr>
          </w:p>
        </w:tc>
        <w:tc>
          <w:tcPr>
            <w:tcW w:w="6095" w:type="dxa"/>
            <w:vAlign w:val="center"/>
          </w:tcPr>
          <w:p>
            <w:pPr>
              <w:jc w:val="center"/>
              <w:rPr>
                <w:sz w:val="22"/>
                <w:szCs w:val="22"/>
              </w:rPr>
            </w:pPr>
            <w:r>
              <w:rPr>
                <w:rFonts w:hint="eastAsia"/>
                <w:sz w:val="22"/>
                <w:szCs w:val="22"/>
              </w:rPr>
              <w:t>外专业教师</w:t>
            </w:r>
          </w:p>
        </w:tc>
        <w:tc>
          <w:tcPr>
            <w:tcW w:w="930" w:type="dxa"/>
            <w:vAlign w:val="center"/>
          </w:tcPr>
          <w:p>
            <w:pPr>
              <w:jc w:val="center"/>
              <w:rPr>
                <w:sz w:val="22"/>
                <w:szCs w:val="22"/>
              </w:rPr>
            </w:pPr>
            <w:r>
              <w:rPr>
                <w:rFonts w:hint="eastAsia"/>
                <w:sz w:val="22"/>
                <w:szCs w:val="22"/>
              </w:rPr>
              <w:t>0</w:t>
            </w:r>
          </w:p>
        </w:tc>
      </w:tr>
      <w:tr>
        <w:tc>
          <w:tcPr>
            <w:tcW w:w="1271" w:type="dxa"/>
            <w:vMerge w:val="continue"/>
            <w:vAlign w:val="center"/>
          </w:tcPr>
          <w:p>
            <w:pPr>
              <w:jc w:val="center"/>
              <w:rPr>
                <w:sz w:val="22"/>
                <w:szCs w:val="22"/>
              </w:rPr>
            </w:pPr>
          </w:p>
        </w:tc>
        <w:tc>
          <w:tcPr>
            <w:tcW w:w="6095" w:type="dxa"/>
            <w:vAlign w:val="center"/>
          </w:tcPr>
          <w:p>
            <w:pPr>
              <w:jc w:val="center"/>
              <w:rPr>
                <w:sz w:val="22"/>
                <w:szCs w:val="22"/>
              </w:rPr>
            </w:pPr>
            <w:r>
              <w:rPr>
                <w:rFonts w:hint="eastAsia"/>
                <w:sz w:val="22"/>
                <w:szCs w:val="22"/>
              </w:rPr>
              <w:t>校外指导教师</w:t>
            </w:r>
          </w:p>
        </w:tc>
        <w:tc>
          <w:tcPr>
            <w:tcW w:w="930" w:type="dxa"/>
            <w:vAlign w:val="center"/>
          </w:tcPr>
          <w:p>
            <w:pPr>
              <w:jc w:val="center"/>
              <w:rPr>
                <w:sz w:val="22"/>
                <w:szCs w:val="22"/>
              </w:rPr>
            </w:pPr>
            <w:r>
              <w:rPr>
                <w:rFonts w:hint="eastAsia"/>
                <w:sz w:val="22"/>
                <w:szCs w:val="22"/>
              </w:rPr>
              <w:t>11</w:t>
            </w:r>
          </w:p>
        </w:tc>
      </w:tr>
      <w:tr>
        <w:tc>
          <w:tcPr>
            <w:tcW w:w="7366" w:type="dxa"/>
            <w:gridSpan w:val="2"/>
            <w:vAlign w:val="center"/>
          </w:tcPr>
          <w:p>
            <w:pPr>
              <w:jc w:val="center"/>
              <w:rPr>
                <w:sz w:val="22"/>
                <w:szCs w:val="22"/>
              </w:rPr>
            </w:pPr>
            <w:r>
              <w:rPr>
                <w:rFonts w:hint="eastAsia"/>
                <w:sz w:val="22"/>
                <w:szCs w:val="22"/>
              </w:rPr>
              <w:t>每名教师平均指导毕业生数</w:t>
            </w:r>
          </w:p>
        </w:tc>
        <w:tc>
          <w:tcPr>
            <w:tcW w:w="930" w:type="dxa"/>
            <w:vAlign w:val="center"/>
          </w:tcPr>
          <w:p>
            <w:pPr>
              <w:jc w:val="center"/>
              <w:rPr>
                <w:sz w:val="22"/>
                <w:szCs w:val="22"/>
              </w:rPr>
            </w:pPr>
            <w:r>
              <w:rPr>
                <w:sz w:val="22"/>
                <w:szCs w:val="22"/>
              </w:rPr>
              <w:t>4</w:t>
            </w:r>
          </w:p>
        </w:tc>
      </w:tr>
    </w:tbl>
    <w:p/>
    <w:p>
      <w:r>
        <w:rPr>
          <w:rFonts w:hint="eastAsia"/>
        </w:rPr>
        <w:t>※以上数据来源：表</w:t>
      </w:r>
      <w:r>
        <w:t xml:space="preserve"> 5-2</w:t>
      </w:r>
      <w:r>
        <w:rPr>
          <w:rFonts w:hint="eastAsia"/>
        </w:rPr>
        <w:t>学生毕业综合训练情况</w:t>
      </w:r>
    </w:p>
    <w:p>
      <w:pPr>
        <w:pStyle w:val="4"/>
        <w:rPr>
          <w:rFonts w:ascii="宋体" w:hAnsi="宋体" w:eastAsia="宋体"/>
          <w:b w:val="0"/>
          <w:bCs w:val="0"/>
          <w:sz w:val="24"/>
          <w:szCs w:val="24"/>
        </w:rPr>
      </w:pPr>
      <w:bookmarkStart w:id="36" w:name="_Toc154735777"/>
      <w:r>
        <w:rPr>
          <w:rFonts w:ascii="宋体" w:hAnsi="宋体" w:eastAsia="宋体"/>
          <w:b w:val="0"/>
          <w:bCs w:val="0"/>
          <w:sz w:val="24"/>
          <w:szCs w:val="24"/>
        </w:rPr>
        <w:t>3.10</w:t>
      </w:r>
      <w:r>
        <w:rPr>
          <w:rFonts w:hint="eastAsia" w:ascii="宋体" w:hAnsi="宋体" w:eastAsia="宋体"/>
          <w:b w:val="0"/>
          <w:bCs w:val="0"/>
          <w:sz w:val="24"/>
          <w:szCs w:val="24"/>
        </w:rPr>
        <w:t>教学改革</w:t>
      </w:r>
      <w:bookmarkEnd w:id="36"/>
    </w:p>
    <w:p>
      <w:pPr>
        <w:widowControl w:val="0"/>
        <w:spacing w:line="360" w:lineRule="auto"/>
        <w:ind w:firstLine="480" w:firstLineChars="200"/>
        <w:rPr>
          <w:rFonts w:ascii="仿宋" w:hAnsi="仿宋" w:eastAsia="仿宋" w:cstheme="minorBidi"/>
          <w:kern w:val="2"/>
        </w:rPr>
      </w:pPr>
      <w:bookmarkStart w:id="37" w:name="_Toc6099"/>
      <w:bookmarkStart w:id="38" w:name="_Toc62119329"/>
      <w:bookmarkStart w:id="39" w:name="_Toc62119946"/>
      <w:bookmarkStart w:id="40" w:name="_Toc8663"/>
      <w:r>
        <w:rPr>
          <w:rFonts w:ascii="仿宋" w:hAnsi="仿宋" w:eastAsia="仿宋" w:cstheme="minorBidi"/>
          <w:kern w:val="2"/>
        </w:rPr>
        <w:t>（1）教学</w:t>
      </w:r>
      <w:r>
        <w:rPr>
          <w:rFonts w:hint="eastAsia" w:ascii="仿宋" w:hAnsi="仿宋" w:eastAsia="仿宋" w:cstheme="minorBidi"/>
          <w:kern w:val="2"/>
        </w:rPr>
        <w:t>内容</w:t>
      </w:r>
      <w:bookmarkEnd w:id="37"/>
      <w:bookmarkEnd w:id="38"/>
      <w:bookmarkEnd w:id="39"/>
      <w:bookmarkEnd w:id="40"/>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本专业近年来加强对教学</w:t>
      </w:r>
      <w:r>
        <w:rPr>
          <w:rFonts w:hint="eastAsia" w:ascii="仿宋" w:hAnsi="仿宋" w:eastAsia="仿宋" w:cstheme="minorBidi"/>
          <w:kern w:val="2"/>
        </w:rPr>
        <w:t>内容的</w:t>
      </w:r>
      <w:r>
        <w:rPr>
          <w:rFonts w:ascii="仿宋" w:hAnsi="仿宋" w:eastAsia="仿宋" w:cstheme="minorBidi"/>
          <w:kern w:val="2"/>
        </w:rPr>
        <w:t>研究，鼓励教师积极参与教学研究项目和教学改革项目。主干课程使用的教材质量有保证，内容处理得当。</w:t>
      </w:r>
      <w:r>
        <w:rPr>
          <w:rFonts w:hint="eastAsia" w:ascii="仿宋" w:hAnsi="仿宋" w:eastAsia="仿宋" w:cstheme="minorBidi"/>
          <w:kern w:val="2"/>
        </w:rPr>
        <w:t>整个专业的老师开展课程思政与专业课程的有效融合的讨论。</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深化产教融合，促进教育链、人才链与产业链、创新链有机衔接，是当前推进人力资源供给侧结构性改革的迫切要求，对新形势下全面提高教育质量、扩大就业创业、推进经济转型升级、培育经济发展新动能具有重要意义。2</w:t>
      </w:r>
      <w:r>
        <w:rPr>
          <w:rFonts w:ascii="仿宋" w:hAnsi="仿宋" w:eastAsia="仿宋" w:cstheme="minorBidi"/>
          <w:kern w:val="2"/>
        </w:rPr>
        <w:t>022</w:t>
      </w:r>
      <w:r>
        <w:rPr>
          <w:rFonts w:hint="eastAsia" w:ascii="仿宋" w:hAnsi="仿宋" w:eastAsia="仿宋" w:cstheme="minorBidi"/>
          <w:kern w:val="2"/>
        </w:rPr>
        <w:t>年1</w:t>
      </w:r>
      <w:r>
        <w:rPr>
          <w:rFonts w:ascii="仿宋" w:hAnsi="仿宋" w:eastAsia="仿宋" w:cstheme="minorBidi"/>
          <w:kern w:val="2"/>
        </w:rPr>
        <w:t>1</w:t>
      </w:r>
      <w:r>
        <w:rPr>
          <w:rFonts w:hint="eastAsia" w:ascii="仿宋" w:hAnsi="仿宋" w:eastAsia="仿宋" w:cstheme="minorBidi"/>
          <w:kern w:val="2"/>
        </w:rPr>
        <w:t>月，养老服务专业6门课程获批</w:t>
      </w:r>
      <w:r>
        <w:rPr>
          <w:rFonts w:ascii="仿宋" w:hAnsi="仿宋" w:eastAsia="仿宋" w:cstheme="minorBidi"/>
          <w:kern w:val="2"/>
        </w:rPr>
        <w:t>上海工程技术大学首批“产教融合教材”建设项目立项</w:t>
      </w:r>
      <w:r>
        <w:rPr>
          <w:rFonts w:hint="eastAsia" w:ascii="仿宋" w:hAnsi="仿宋" w:eastAsia="仿宋" w:cstheme="minorBidi"/>
          <w:kern w:val="2"/>
        </w:rPr>
        <w:t>。其中包括《养老服务管理概论》、《健康管理》、《养老金融》、《智慧养老》、《老年社会工作》、《老年心理学》。通过建设编写本专业特色教材，健全高等教育学术人才和应用人才分类培养体系，提高应用型人才培养比重。</w:t>
      </w:r>
    </w:p>
    <w:p>
      <w:pPr>
        <w:widowControl w:val="0"/>
        <w:spacing w:line="360" w:lineRule="auto"/>
        <w:ind w:firstLine="480" w:firstLineChars="200"/>
        <w:rPr>
          <w:rFonts w:ascii="仿宋" w:hAnsi="仿宋" w:eastAsia="仿宋" w:cstheme="minorBidi"/>
          <w:kern w:val="2"/>
        </w:rPr>
      </w:pPr>
      <w:bookmarkStart w:id="41" w:name="_Toc62119947"/>
      <w:r>
        <w:rPr>
          <w:rFonts w:ascii="仿宋" w:hAnsi="仿宋" w:eastAsia="仿宋" w:cstheme="minorBidi"/>
          <w:kern w:val="2"/>
        </w:rPr>
        <w:t>（2）改革教学方法</w:t>
      </w:r>
      <w:bookmarkEnd w:id="41"/>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本专业教师重视教学方法改革，不断改进多媒体教学手段的运用。</w:t>
      </w:r>
      <w:r>
        <w:rPr>
          <w:rFonts w:hint="eastAsia" w:ascii="仿宋" w:hAnsi="仿宋" w:eastAsia="仿宋" w:cstheme="minorBidi"/>
          <w:kern w:val="2"/>
        </w:rPr>
        <w:t>推行智慧教学，利用智慧教室、5G、互联网等信息技术，推进课堂教学改革，促进现代信息技术与教育教学深度融合。</w:t>
      </w:r>
    </w:p>
    <w:p>
      <w:pPr>
        <w:widowControl w:val="0"/>
        <w:spacing w:line="360" w:lineRule="auto"/>
        <w:ind w:firstLine="480" w:firstLineChars="200"/>
        <w:rPr>
          <w:rFonts w:ascii="仿宋" w:hAnsi="仿宋" w:eastAsia="仿宋" w:cstheme="minorBidi"/>
          <w:kern w:val="2"/>
        </w:rPr>
      </w:pPr>
      <w:bookmarkStart w:id="42" w:name="_Toc62119948"/>
      <w:r>
        <w:rPr>
          <w:rFonts w:ascii="仿宋" w:hAnsi="仿宋" w:eastAsia="仿宋" w:cstheme="minorBidi"/>
          <w:kern w:val="2"/>
        </w:rPr>
        <w:t>（3）其他教学资源利用</w:t>
      </w:r>
      <w:bookmarkEnd w:id="42"/>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采用多媒体、计算机网络资源等辅助手段进行教学，聘请校内外专家为学生开设讲座，开展双语教学，人力资源、企业战略管理等校级以上精品课程利用精品课程网站进行一定程度的网络教学尝试，开放部分实验室作为学生自主创新和自主学习的必要场所。</w:t>
      </w:r>
    </w:p>
    <w:p>
      <w:pPr>
        <w:pStyle w:val="3"/>
        <w:pageBreakBefore/>
        <w:spacing w:after="120" w:line="415" w:lineRule="auto"/>
        <w:jc w:val="left"/>
        <w:rPr>
          <w:rFonts w:ascii="宋体" w:hAnsi="宋体"/>
          <w:sz w:val="28"/>
          <w:szCs w:val="28"/>
        </w:rPr>
      </w:pPr>
      <w:bookmarkStart w:id="43" w:name="_Toc154735778"/>
      <w:r>
        <w:rPr>
          <w:rFonts w:ascii="宋体" w:hAnsi="宋体"/>
          <w:sz w:val="28"/>
          <w:szCs w:val="28"/>
        </w:rPr>
        <w:t>4.教师队伍</w:t>
      </w:r>
      <w:bookmarkEnd w:id="43"/>
      <w:r>
        <w:rPr>
          <w:rFonts w:ascii="宋体" w:hAnsi="宋体"/>
          <w:sz w:val="28"/>
          <w:szCs w:val="28"/>
        </w:rPr>
        <w:t xml:space="preserve"> </w:t>
      </w:r>
    </w:p>
    <w:p>
      <w:pPr>
        <w:pStyle w:val="4"/>
        <w:rPr>
          <w:rFonts w:ascii="宋体" w:hAnsi="宋体" w:eastAsia="宋体"/>
          <w:b w:val="0"/>
          <w:bCs w:val="0"/>
          <w:sz w:val="24"/>
          <w:szCs w:val="24"/>
        </w:rPr>
      </w:pPr>
      <w:bookmarkStart w:id="44" w:name="_Toc154735779"/>
      <w:r>
        <w:rPr>
          <w:rFonts w:ascii="宋体" w:hAnsi="宋体" w:eastAsia="宋体"/>
          <w:b w:val="0"/>
          <w:bCs w:val="0"/>
          <w:sz w:val="24"/>
          <w:szCs w:val="24"/>
        </w:rPr>
        <w:t>4.1专业教师数量与结构</w:t>
      </w:r>
      <w:bookmarkEnd w:id="44"/>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4.1.1专业教师数量</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目前，养老服务管理专业拥有专任教师</w:t>
      </w:r>
      <w:r>
        <w:rPr>
          <w:rFonts w:hint="eastAsia" w:ascii="仿宋" w:hAnsi="仿宋" w:eastAsia="仿宋" w:cstheme="minorBidi"/>
          <w:kern w:val="2"/>
        </w:rPr>
        <w:t>10</w:t>
      </w:r>
      <w:r>
        <w:rPr>
          <w:rFonts w:ascii="仿宋" w:hAnsi="仿宋" w:eastAsia="仿宋" w:cstheme="minorBidi"/>
          <w:kern w:val="2"/>
        </w:rPr>
        <w:t>人，其中</w:t>
      </w:r>
      <w:r>
        <w:rPr>
          <w:rFonts w:hint="eastAsia" w:ascii="仿宋" w:hAnsi="仿宋" w:eastAsia="仿宋" w:cstheme="minorBidi"/>
          <w:kern w:val="2"/>
        </w:rPr>
        <w:t>高级职称教师5人</w:t>
      </w:r>
      <w:r>
        <w:rPr>
          <w:rFonts w:ascii="仿宋" w:hAnsi="仿宋" w:eastAsia="仿宋" w:cstheme="minorBidi"/>
          <w:kern w:val="2"/>
        </w:rPr>
        <w:t>，</w:t>
      </w:r>
      <w:r>
        <w:rPr>
          <w:rFonts w:hint="eastAsia" w:ascii="仿宋" w:hAnsi="仿宋" w:eastAsia="仿宋" w:cstheme="minorBidi"/>
          <w:kern w:val="2"/>
        </w:rPr>
        <w:t>具有行业企业背景教师6</w:t>
      </w:r>
      <w:r>
        <w:rPr>
          <w:rFonts w:ascii="仿宋" w:hAnsi="仿宋" w:eastAsia="仿宋" w:cstheme="minorBidi"/>
          <w:kern w:val="2"/>
        </w:rPr>
        <w:t>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1843"/>
        <w:gridCol w:w="1638"/>
      </w:tblGrid>
      <w:tr>
        <w:tc>
          <w:tcPr>
            <w:tcW w:w="4815" w:type="dxa"/>
            <w:vAlign w:val="center"/>
          </w:tcPr>
          <w:p>
            <w:pPr>
              <w:jc w:val="center"/>
              <w:rPr>
                <w:sz w:val="21"/>
                <w:szCs w:val="21"/>
              </w:rPr>
            </w:pPr>
            <w:r>
              <w:rPr>
                <w:rFonts w:hint="eastAsia"/>
                <w:sz w:val="21"/>
                <w:szCs w:val="21"/>
              </w:rPr>
              <w:t>项目</w:t>
            </w:r>
          </w:p>
        </w:tc>
        <w:tc>
          <w:tcPr>
            <w:tcW w:w="1843" w:type="dxa"/>
            <w:vAlign w:val="center"/>
          </w:tcPr>
          <w:p>
            <w:pPr>
              <w:jc w:val="center"/>
              <w:rPr>
                <w:sz w:val="21"/>
                <w:szCs w:val="21"/>
              </w:rPr>
            </w:pPr>
            <w:r>
              <w:rPr>
                <w:rFonts w:hint="eastAsia"/>
                <w:sz w:val="21"/>
                <w:szCs w:val="21"/>
              </w:rPr>
              <w:t>数量</w:t>
            </w:r>
          </w:p>
        </w:tc>
        <w:tc>
          <w:tcPr>
            <w:tcW w:w="1638" w:type="dxa"/>
            <w:vAlign w:val="center"/>
          </w:tcPr>
          <w:p>
            <w:pPr>
              <w:jc w:val="center"/>
              <w:rPr>
                <w:sz w:val="21"/>
                <w:szCs w:val="21"/>
              </w:rPr>
            </w:pPr>
            <w:r>
              <w:rPr>
                <w:rFonts w:hint="eastAsia"/>
                <w:sz w:val="21"/>
                <w:szCs w:val="21"/>
              </w:rPr>
              <w:t>比例</w:t>
            </w:r>
          </w:p>
        </w:tc>
      </w:tr>
      <w:tr>
        <w:tc>
          <w:tcPr>
            <w:tcW w:w="4815" w:type="dxa"/>
            <w:vAlign w:val="center"/>
          </w:tcPr>
          <w:p>
            <w:pPr>
              <w:jc w:val="center"/>
              <w:rPr>
                <w:sz w:val="21"/>
                <w:szCs w:val="21"/>
              </w:rPr>
            </w:pPr>
            <w:r>
              <w:rPr>
                <w:rFonts w:hint="eastAsia"/>
                <w:sz w:val="21"/>
                <w:szCs w:val="21"/>
              </w:rPr>
              <w:t>专业教师总数</w:t>
            </w:r>
          </w:p>
        </w:tc>
        <w:tc>
          <w:tcPr>
            <w:tcW w:w="1843" w:type="dxa"/>
            <w:vAlign w:val="center"/>
          </w:tcPr>
          <w:p>
            <w:pPr>
              <w:jc w:val="center"/>
              <w:rPr>
                <w:sz w:val="21"/>
                <w:szCs w:val="21"/>
              </w:rPr>
            </w:pPr>
            <w:r>
              <w:rPr>
                <w:sz w:val="21"/>
                <w:szCs w:val="21"/>
              </w:rPr>
              <w:t>10</w:t>
            </w:r>
            <w:bookmarkStart w:id="45" w:name="OLE_LINK1"/>
            <w:bookmarkEnd w:id="45"/>
          </w:p>
        </w:tc>
        <w:tc>
          <w:tcPr>
            <w:tcW w:w="1638" w:type="dxa"/>
            <w:vAlign w:val="center"/>
          </w:tcPr>
          <w:p>
            <w:pPr>
              <w:jc w:val="center"/>
              <w:rPr>
                <w:sz w:val="21"/>
                <w:szCs w:val="21"/>
              </w:rPr>
            </w:pPr>
            <w:r>
              <w:rPr>
                <w:rFonts w:hint="eastAsia"/>
                <w:sz w:val="21"/>
                <w:szCs w:val="21"/>
              </w:rPr>
              <w:t>/</w:t>
            </w:r>
          </w:p>
        </w:tc>
      </w:tr>
      <w:tr>
        <w:tc>
          <w:tcPr>
            <w:tcW w:w="4815" w:type="dxa"/>
            <w:vAlign w:val="center"/>
          </w:tcPr>
          <w:p>
            <w:pPr>
              <w:jc w:val="center"/>
              <w:rPr>
                <w:sz w:val="21"/>
                <w:szCs w:val="21"/>
              </w:rPr>
            </w:pPr>
            <w:r>
              <w:rPr>
                <w:rFonts w:hint="eastAsia"/>
                <w:sz w:val="21"/>
                <w:szCs w:val="21"/>
              </w:rPr>
              <w:t>其中：</w:t>
            </w:r>
            <w:bookmarkStart w:id="46" w:name="OLE_LINK26"/>
            <w:r>
              <w:rPr>
                <w:rFonts w:hint="eastAsia"/>
                <w:sz w:val="21"/>
                <w:szCs w:val="21"/>
              </w:rPr>
              <w:t>近五年新增教师</w:t>
            </w:r>
            <w:bookmarkEnd w:id="46"/>
          </w:p>
        </w:tc>
        <w:tc>
          <w:tcPr>
            <w:tcW w:w="1843" w:type="dxa"/>
            <w:vAlign w:val="center"/>
          </w:tcPr>
          <w:p>
            <w:pPr>
              <w:jc w:val="center"/>
              <w:rPr>
                <w:sz w:val="21"/>
                <w:szCs w:val="21"/>
              </w:rPr>
            </w:pPr>
            <w:r>
              <w:rPr>
                <w:sz w:val="21"/>
                <w:szCs w:val="21"/>
              </w:rPr>
              <w:t>4</w:t>
            </w:r>
            <w:bookmarkStart w:id="47" w:name="OLE_LINK23"/>
            <w:bookmarkEnd w:id="47"/>
          </w:p>
        </w:tc>
        <w:tc>
          <w:tcPr>
            <w:tcW w:w="1638" w:type="dxa"/>
            <w:vAlign w:val="center"/>
          </w:tcPr>
          <w:p>
            <w:pPr>
              <w:jc w:val="center"/>
              <w:rPr>
                <w:sz w:val="21"/>
                <w:szCs w:val="21"/>
              </w:rPr>
            </w:pPr>
            <w:r>
              <w:rPr>
                <w:sz w:val="21"/>
                <w:szCs w:val="21"/>
              </w:rPr>
              <w:t>40</w:t>
            </w:r>
          </w:p>
        </w:tc>
      </w:tr>
      <w:tr>
        <w:tc>
          <w:tcPr>
            <w:tcW w:w="4815" w:type="dxa"/>
            <w:vAlign w:val="center"/>
          </w:tcPr>
          <w:p>
            <w:pPr>
              <w:jc w:val="center"/>
              <w:rPr>
                <w:sz w:val="21"/>
                <w:szCs w:val="21"/>
              </w:rPr>
            </w:pPr>
            <w:r>
              <w:rPr>
                <w:rFonts w:hint="eastAsia"/>
                <w:sz w:val="21"/>
                <w:szCs w:val="21"/>
              </w:rPr>
              <w:t>双师双能型教师</w:t>
            </w:r>
          </w:p>
        </w:tc>
        <w:tc>
          <w:tcPr>
            <w:tcW w:w="1843" w:type="dxa"/>
            <w:vAlign w:val="center"/>
          </w:tcPr>
          <w:p>
            <w:pPr>
              <w:jc w:val="center"/>
              <w:rPr>
                <w:sz w:val="21"/>
                <w:szCs w:val="21"/>
              </w:rPr>
            </w:pPr>
            <w:r>
              <w:rPr>
                <w:sz w:val="21"/>
                <w:szCs w:val="21"/>
              </w:rPr>
              <w:t>6</w:t>
            </w:r>
          </w:p>
        </w:tc>
        <w:tc>
          <w:tcPr>
            <w:tcW w:w="1638" w:type="dxa"/>
            <w:vAlign w:val="center"/>
          </w:tcPr>
          <w:p>
            <w:pPr>
              <w:jc w:val="center"/>
              <w:rPr>
                <w:sz w:val="21"/>
                <w:szCs w:val="21"/>
              </w:rPr>
            </w:pPr>
            <w:r>
              <w:rPr>
                <w:sz w:val="21"/>
                <w:szCs w:val="21"/>
              </w:rPr>
              <w:t>60</w:t>
            </w:r>
          </w:p>
        </w:tc>
      </w:tr>
      <w:tr>
        <w:tc>
          <w:tcPr>
            <w:tcW w:w="4815" w:type="dxa"/>
            <w:vAlign w:val="center"/>
          </w:tcPr>
          <w:p>
            <w:pPr>
              <w:jc w:val="center"/>
              <w:rPr>
                <w:sz w:val="21"/>
                <w:szCs w:val="21"/>
              </w:rPr>
            </w:pPr>
            <w:r>
              <w:rPr>
                <w:rFonts w:hint="eastAsia"/>
                <w:sz w:val="21"/>
                <w:szCs w:val="21"/>
              </w:rPr>
              <w:t>具有行业企业背景</w:t>
            </w:r>
          </w:p>
        </w:tc>
        <w:tc>
          <w:tcPr>
            <w:tcW w:w="1843" w:type="dxa"/>
            <w:vAlign w:val="center"/>
          </w:tcPr>
          <w:p>
            <w:pPr>
              <w:jc w:val="center"/>
              <w:rPr>
                <w:sz w:val="21"/>
                <w:szCs w:val="21"/>
              </w:rPr>
            </w:pPr>
            <w:r>
              <w:rPr>
                <w:sz w:val="21"/>
                <w:szCs w:val="21"/>
              </w:rPr>
              <w:t>6</w:t>
            </w:r>
          </w:p>
        </w:tc>
        <w:tc>
          <w:tcPr>
            <w:tcW w:w="1638" w:type="dxa"/>
            <w:vAlign w:val="center"/>
          </w:tcPr>
          <w:p>
            <w:pPr>
              <w:jc w:val="center"/>
              <w:rPr>
                <w:sz w:val="21"/>
                <w:szCs w:val="21"/>
              </w:rPr>
            </w:pPr>
            <w:r>
              <w:rPr>
                <w:sz w:val="21"/>
                <w:szCs w:val="21"/>
              </w:rPr>
              <w:t>60</w:t>
            </w:r>
          </w:p>
        </w:tc>
      </w:tr>
      <w:tr>
        <w:tc>
          <w:tcPr>
            <w:tcW w:w="4815" w:type="dxa"/>
            <w:vAlign w:val="center"/>
          </w:tcPr>
          <w:p>
            <w:pPr>
              <w:jc w:val="center"/>
              <w:rPr>
                <w:sz w:val="21"/>
                <w:szCs w:val="21"/>
              </w:rPr>
            </w:pPr>
            <w:r>
              <w:rPr>
                <w:rFonts w:hint="eastAsia"/>
                <w:sz w:val="21"/>
                <w:szCs w:val="21"/>
              </w:rPr>
              <w:t>高级职称教师数量</w:t>
            </w:r>
          </w:p>
        </w:tc>
        <w:tc>
          <w:tcPr>
            <w:tcW w:w="1843" w:type="dxa"/>
            <w:vAlign w:val="center"/>
          </w:tcPr>
          <w:p>
            <w:pPr>
              <w:jc w:val="center"/>
              <w:rPr>
                <w:sz w:val="21"/>
                <w:szCs w:val="21"/>
              </w:rPr>
            </w:pPr>
            <w:r>
              <w:rPr>
                <w:sz w:val="21"/>
                <w:szCs w:val="21"/>
              </w:rPr>
              <w:t>5</w:t>
            </w:r>
          </w:p>
        </w:tc>
        <w:tc>
          <w:tcPr>
            <w:tcW w:w="1638" w:type="dxa"/>
            <w:vAlign w:val="center"/>
          </w:tcPr>
          <w:p>
            <w:pPr>
              <w:jc w:val="center"/>
              <w:rPr>
                <w:sz w:val="21"/>
                <w:szCs w:val="21"/>
              </w:rPr>
            </w:pPr>
            <w:r>
              <w:rPr>
                <w:sz w:val="21"/>
                <w:szCs w:val="21"/>
              </w:rPr>
              <w:t>50</w:t>
            </w:r>
          </w:p>
        </w:tc>
      </w:tr>
      <w:tr>
        <w:tc>
          <w:tcPr>
            <w:tcW w:w="4815" w:type="dxa"/>
            <w:vAlign w:val="center"/>
          </w:tcPr>
          <w:p>
            <w:pPr>
              <w:jc w:val="center"/>
              <w:rPr>
                <w:sz w:val="21"/>
                <w:szCs w:val="21"/>
              </w:rPr>
            </w:pPr>
            <w:r>
              <w:rPr>
                <w:rFonts w:hint="eastAsia"/>
                <w:sz w:val="21"/>
                <w:szCs w:val="21"/>
              </w:rPr>
              <w:t>学年内承担专业课教学的本专业教师数</w:t>
            </w:r>
          </w:p>
        </w:tc>
        <w:tc>
          <w:tcPr>
            <w:tcW w:w="1843" w:type="dxa"/>
            <w:vAlign w:val="center"/>
          </w:tcPr>
          <w:p>
            <w:pPr>
              <w:jc w:val="center"/>
              <w:rPr>
                <w:sz w:val="21"/>
                <w:szCs w:val="21"/>
              </w:rPr>
            </w:pPr>
            <w:r>
              <w:rPr>
                <w:sz w:val="21"/>
                <w:szCs w:val="21"/>
              </w:rPr>
              <w:t>8</w:t>
            </w:r>
            <w:bookmarkStart w:id="48" w:name="OLE_LINK24"/>
            <w:bookmarkEnd w:id="48"/>
          </w:p>
        </w:tc>
        <w:tc>
          <w:tcPr>
            <w:tcW w:w="1638" w:type="dxa"/>
            <w:vAlign w:val="center"/>
          </w:tcPr>
          <w:p>
            <w:pPr>
              <w:jc w:val="center"/>
              <w:rPr>
                <w:sz w:val="21"/>
                <w:szCs w:val="21"/>
              </w:rPr>
            </w:pPr>
            <w:r>
              <w:rPr>
                <w:sz w:val="21"/>
                <w:szCs w:val="21"/>
              </w:rPr>
              <w:t>80</w:t>
            </w:r>
          </w:p>
        </w:tc>
      </w:tr>
      <w:tr>
        <w:tc>
          <w:tcPr>
            <w:tcW w:w="4815" w:type="dxa"/>
            <w:vAlign w:val="center"/>
          </w:tcPr>
          <w:p>
            <w:pPr>
              <w:jc w:val="center"/>
              <w:rPr>
                <w:sz w:val="21"/>
                <w:szCs w:val="21"/>
              </w:rPr>
            </w:pPr>
            <w:r>
              <w:rPr>
                <w:rFonts w:hint="eastAsia"/>
                <w:sz w:val="21"/>
                <w:szCs w:val="22"/>
              </w:rPr>
              <w:t>教授数量</w:t>
            </w:r>
          </w:p>
        </w:tc>
        <w:tc>
          <w:tcPr>
            <w:tcW w:w="1843" w:type="dxa"/>
            <w:vAlign w:val="center"/>
          </w:tcPr>
          <w:p>
            <w:pPr>
              <w:jc w:val="center"/>
              <w:rPr>
                <w:sz w:val="21"/>
                <w:szCs w:val="21"/>
              </w:rPr>
            </w:pPr>
            <w:r>
              <w:rPr>
                <w:sz w:val="21"/>
                <w:szCs w:val="21"/>
              </w:rPr>
              <w:t>1</w:t>
            </w:r>
            <w:bookmarkStart w:id="49" w:name="OLE_LINK25"/>
            <w:bookmarkEnd w:id="49"/>
          </w:p>
        </w:tc>
        <w:tc>
          <w:tcPr>
            <w:tcW w:w="1638" w:type="dxa"/>
            <w:vAlign w:val="center"/>
          </w:tcPr>
          <w:p>
            <w:pPr>
              <w:jc w:val="center"/>
              <w:rPr>
                <w:sz w:val="21"/>
                <w:szCs w:val="21"/>
              </w:rPr>
            </w:pPr>
            <w:r>
              <w:rPr>
                <w:sz w:val="21"/>
                <w:szCs w:val="21"/>
              </w:rPr>
              <w:t>10</w:t>
            </w:r>
          </w:p>
        </w:tc>
      </w:tr>
      <w:tr>
        <w:tc>
          <w:tcPr>
            <w:tcW w:w="4815" w:type="dxa"/>
            <w:vAlign w:val="center"/>
          </w:tcPr>
          <w:p>
            <w:pPr>
              <w:jc w:val="center"/>
              <w:rPr>
                <w:sz w:val="21"/>
                <w:szCs w:val="21"/>
              </w:rPr>
            </w:pPr>
            <w:r>
              <w:rPr>
                <w:rFonts w:hint="eastAsia"/>
                <w:sz w:val="21"/>
                <w:szCs w:val="21"/>
              </w:rPr>
              <w:t>学年内承担专业课课程的教授数量</w:t>
            </w:r>
          </w:p>
        </w:tc>
        <w:tc>
          <w:tcPr>
            <w:tcW w:w="1843" w:type="dxa"/>
            <w:vAlign w:val="center"/>
          </w:tcPr>
          <w:p>
            <w:pPr>
              <w:jc w:val="center"/>
              <w:rPr>
                <w:sz w:val="21"/>
                <w:szCs w:val="21"/>
              </w:rPr>
            </w:pPr>
            <w:r>
              <w:rPr>
                <w:sz w:val="21"/>
                <w:szCs w:val="21"/>
              </w:rPr>
              <w:t>1</w:t>
            </w:r>
          </w:p>
        </w:tc>
        <w:tc>
          <w:tcPr>
            <w:tcW w:w="1638" w:type="dxa"/>
            <w:vAlign w:val="center"/>
          </w:tcPr>
          <w:p>
            <w:pPr>
              <w:jc w:val="center"/>
              <w:rPr>
                <w:sz w:val="21"/>
                <w:szCs w:val="21"/>
              </w:rPr>
            </w:pPr>
            <w:r>
              <w:rPr>
                <w:sz w:val="21"/>
                <w:szCs w:val="21"/>
              </w:rPr>
              <w:t>100</w:t>
            </w:r>
          </w:p>
        </w:tc>
      </w:tr>
      <w:tr>
        <w:tc>
          <w:tcPr>
            <w:tcW w:w="4815" w:type="dxa"/>
            <w:vAlign w:val="center"/>
          </w:tcPr>
          <w:p>
            <w:pPr>
              <w:jc w:val="center"/>
              <w:rPr>
                <w:sz w:val="21"/>
                <w:szCs w:val="21"/>
              </w:rPr>
            </w:pPr>
            <w:r>
              <w:rPr>
                <w:rFonts w:hint="eastAsia"/>
                <w:sz w:val="21"/>
                <w:szCs w:val="21"/>
              </w:rPr>
              <w:t>学年内</w:t>
            </w:r>
            <w:r>
              <w:rPr>
                <w:rFonts w:hint="eastAsia"/>
                <w:sz w:val="21"/>
                <w:szCs w:val="22"/>
              </w:rPr>
              <w:t>低年级授课教授数量</w:t>
            </w:r>
          </w:p>
        </w:tc>
        <w:tc>
          <w:tcPr>
            <w:tcW w:w="1843" w:type="dxa"/>
            <w:vAlign w:val="center"/>
          </w:tcPr>
          <w:p>
            <w:pPr>
              <w:jc w:val="center"/>
              <w:rPr>
                <w:sz w:val="21"/>
                <w:szCs w:val="21"/>
              </w:rPr>
            </w:pPr>
            <w:r>
              <w:rPr>
                <w:sz w:val="21"/>
                <w:szCs w:val="21"/>
              </w:rPr>
              <w:t>0</w:t>
            </w:r>
            <w:bookmarkStart w:id="50" w:name="OLE_LINK22"/>
            <w:bookmarkEnd w:id="50"/>
          </w:p>
        </w:tc>
        <w:tc>
          <w:tcPr>
            <w:tcW w:w="1638" w:type="dxa"/>
            <w:vAlign w:val="center"/>
          </w:tcPr>
          <w:p>
            <w:pPr>
              <w:jc w:val="center"/>
              <w:rPr>
                <w:sz w:val="21"/>
                <w:szCs w:val="21"/>
              </w:rPr>
            </w:pPr>
            <w:r>
              <w:rPr>
                <w:sz w:val="21"/>
                <w:szCs w:val="21"/>
              </w:rPr>
              <w:t>0</w:t>
            </w:r>
          </w:p>
        </w:tc>
      </w:tr>
    </w:tbl>
    <w:p>
      <w:pPr>
        <w:rPr>
          <w:sz w:val="21"/>
          <w:szCs w:val="21"/>
        </w:rPr>
      </w:pPr>
      <w:r>
        <w:rPr>
          <w:rFonts w:hint="eastAsia"/>
        </w:rPr>
        <w:t>*</w:t>
      </w:r>
      <w:r>
        <w:rPr>
          <w:rFonts w:hint="eastAsia"/>
          <w:sz w:val="21"/>
          <w:szCs w:val="21"/>
        </w:rPr>
        <w:t>学年内承担专业课课程的教授比例、学年内</w:t>
      </w:r>
      <w:r>
        <w:rPr>
          <w:rFonts w:hint="eastAsia"/>
          <w:sz w:val="21"/>
          <w:szCs w:val="22"/>
        </w:rPr>
        <w:t>低年级授课教授</w:t>
      </w:r>
      <w:r>
        <w:rPr>
          <w:rFonts w:hint="eastAsia"/>
          <w:sz w:val="21"/>
          <w:szCs w:val="21"/>
        </w:rPr>
        <w:t>比例 为占专业教授数量的比例。本表仅统计本专业教师。</w:t>
      </w:r>
    </w:p>
    <w:p/>
    <w:p>
      <w:r>
        <w:rPr>
          <w:rFonts w:hint="eastAsia"/>
        </w:rPr>
        <w:t>※</w:t>
      </w:r>
      <w:r>
        <w:t>以上数据来源：表 1-5-1 教职工基本信息、表 5-1-1 开课情况、表 5-1-2 专业课教学实施情况。</w:t>
      </w:r>
    </w:p>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4.1.2专业教师结构</w:t>
      </w:r>
    </w:p>
    <w:p>
      <w:pPr>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专业教学团队已经形成以专业高级顾问为第一层次、教学团队带头人、方向带头人为第二层次；学术资深教师和研究骨干为第三层次；中青年教师和一般研究人员为第四层次的养老服务</w:t>
      </w:r>
      <w:r>
        <w:rPr>
          <w:rFonts w:ascii="仿宋" w:hAnsi="仿宋" w:eastAsia="仿宋" w:cstheme="minorBidi"/>
          <w:kern w:val="2"/>
        </w:rPr>
        <w:t>管理</w:t>
      </w:r>
      <w:r>
        <w:rPr>
          <w:rFonts w:hint="eastAsia" w:ascii="仿宋" w:hAnsi="仿宋" w:eastAsia="仿宋" w:cstheme="minorBidi"/>
          <w:kern w:val="2"/>
        </w:rPr>
        <w:t>专业教学团队梯队层次趋于清晰，增强了社会保障专业发展的后劲和可持续性。</w:t>
      </w:r>
    </w:p>
    <w:p>
      <w:pPr>
        <w:adjustRightInd w:val="0"/>
        <w:snapToGrid w:val="0"/>
        <w:spacing w:line="360" w:lineRule="auto"/>
        <w:ind w:firstLine="480" w:firstLineChars="200"/>
        <w:rPr>
          <w:rFonts w:eastAsia="仿宋"/>
        </w:rPr>
      </w:pPr>
      <w:r>
        <w:rPr>
          <w:rFonts w:hint="eastAsia" w:ascii="仿宋" w:hAnsi="仿宋" w:eastAsia="仿宋" w:cstheme="minorBidi"/>
          <w:kern w:val="2"/>
        </w:rPr>
        <w:t>由于养老服务管理专业综合、交叉的专业特点，在前期建设过程中，有意识地安排和吸收具有管理学、经济学、人口学、心理学、老年学、社会工作、传播学、老年政策、老年福利机构经营管理、老年病学、老年护理与老年保健、社会调查等学科专业背景的教师，从而保证了养老服务管理专业教学团队研究的特色和优势，很多教师更具有非常丰富的养老服务实践功底。</w:t>
      </w:r>
      <w:r>
        <w:rPr>
          <w:rFonts w:hint="eastAsia" w:eastAsia="仿宋"/>
        </w:rPr>
        <w:t>他们长期从事养老服务管理领域的研究，围绕“医养康护”专业领域，形成了较深厚的专业理论知识体系。同时，引进护理学和公共卫生专业教师作为兼职教师，共同进行授课。因此，本专业已构建起以“医养康护”+“管理”+“服务”为专业知识体系的师资队伍。</w:t>
      </w:r>
    </w:p>
    <w:p>
      <w:pPr>
        <w:adjustRightInd w:val="0"/>
        <w:snapToGrid w:val="0"/>
        <w:spacing w:line="360" w:lineRule="auto"/>
        <w:ind w:firstLine="480" w:firstLineChars="200"/>
        <w:rPr>
          <w:rFonts w:eastAsia="仿宋"/>
        </w:rPr>
      </w:pPr>
      <w:r>
        <w:rPr>
          <w:rFonts w:hint="eastAsia" w:eastAsia="仿宋"/>
        </w:rPr>
        <w:t>养老服</w:t>
      </w:r>
      <w:r>
        <w:rPr>
          <w:rFonts w:eastAsia="仿宋"/>
        </w:rPr>
        <w:t>务管理专业教学团队中教师大多来自复旦大学、上海交通大学、同济大学、</w:t>
      </w:r>
      <w:r>
        <w:rPr>
          <w:rFonts w:hint="eastAsia" w:eastAsia="仿宋"/>
        </w:rPr>
        <w:t>浙江大学、</w:t>
      </w:r>
      <w:r>
        <w:rPr>
          <w:rFonts w:eastAsia="仿宋"/>
        </w:rPr>
        <w:t>华东师范大学、上海财经大学等“985”或“211”大学的比例占到100%</w:t>
      </w:r>
      <w:r>
        <w:rPr>
          <w:rFonts w:hint="eastAsia" w:eastAsia="仿宋"/>
        </w:rPr>
        <w:t>，并且80%的教师为博士学位，20%为硕士学位；在学缘分析上，教师毕业于外校的占90%，校内占10%</w:t>
      </w:r>
      <w:r>
        <w:rPr>
          <w:rFonts w:eastAsia="仿宋"/>
        </w:rPr>
        <w:t>。</w:t>
      </w:r>
    </w:p>
    <w:p>
      <w:pPr>
        <w:adjustRightInd w:val="0"/>
        <w:snapToGrid w:val="0"/>
        <w:spacing w:line="360" w:lineRule="auto"/>
        <w:ind w:firstLine="480" w:firstLineChars="200"/>
        <w:rPr>
          <w:rFonts w:eastAsia="仿宋"/>
        </w:rPr>
      </w:pPr>
      <w:r>
        <w:rPr>
          <w:rFonts w:hint="eastAsia" w:eastAsia="仿宋"/>
        </w:rPr>
        <w:t>此外，我校养老服务管理专业教学团队柔性师资资源丰富，集中了一批上海市</w:t>
      </w:r>
      <w:r>
        <w:rPr>
          <w:rFonts w:eastAsia="仿宋"/>
        </w:rPr>
        <w:t>政府决策支持研究基地、</w:t>
      </w:r>
      <w:r>
        <w:rPr>
          <w:rFonts w:hint="eastAsia" w:eastAsia="仿宋"/>
        </w:rPr>
        <w:t>现</w:t>
      </w:r>
      <w:r>
        <w:rPr>
          <w:rFonts w:hint="eastAsia" w:ascii="仿宋" w:hAnsi="仿宋" w:eastAsia="仿宋" w:cstheme="minorBidi"/>
          <w:kern w:val="2"/>
        </w:rPr>
        <w:t>代城市公共管理研究</w:t>
      </w:r>
      <w:r>
        <w:rPr>
          <w:rFonts w:ascii="仿宋" w:hAnsi="仿宋" w:eastAsia="仿宋" w:cstheme="minorBidi"/>
          <w:kern w:val="2"/>
        </w:rPr>
        <w:t>中心、</w:t>
      </w:r>
      <w:r>
        <w:rPr>
          <w:rFonts w:hint="eastAsia" w:ascii="仿宋" w:hAnsi="仿宋" w:eastAsia="仿宋" w:cstheme="minorBidi"/>
          <w:kern w:val="2"/>
        </w:rPr>
        <w:t>经济研究所、上海社会保障问题研究中心的教师和科研人员，更包括11名重要的兼职研究人员，他们</w:t>
      </w:r>
      <w:r>
        <w:rPr>
          <w:rFonts w:hint="eastAsia" w:eastAsia="仿宋"/>
        </w:rPr>
        <w:t>在上海市政府养老服务部门或养老机构担任领导工作，具有丰富的养老服务管理理论和实践经验，为本专业学生开设各种讲座。</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601"/>
        <w:gridCol w:w="2074"/>
        <w:gridCol w:w="2074"/>
      </w:tblGrid>
      <w:tr>
        <w:trPr>
          <w:cantSplit/>
        </w:trPr>
        <w:tc>
          <w:tcPr>
            <w:tcW w:w="4148" w:type="dxa"/>
            <w:gridSpan w:val="3"/>
            <w:vAlign w:val="center"/>
          </w:tcPr>
          <w:p>
            <w:pPr>
              <w:jc w:val="center"/>
              <w:rPr>
                <w:sz w:val="21"/>
                <w:szCs w:val="21"/>
              </w:rPr>
            </w:pPr>
            <w:r>
              <w:rPr>
                <w:rFonts w:hint="eastAsia"/>
                <w:sz w:val="21"/>
                <w:szCs w:val="21"/>
              </w:rPr>
              <w:t>项目</w:t>
            </w:r>
          </w:p>
        </w:tc>
        <w:tc>
          <w:tcPr>
            <w:tcW w:w="2074" w:type="dxa"/>
            <w:vAlign w:val="center"/>
          </w:tcPr>
          <w:p>
            <w:pPr>
              <w:jc w:val="center"/>
              <w:rPr>
                <w:sz w:val="21"/>
                <w:szCs w:val="21"/>
              </w:rPr>
            </w:pPr>
            <w:r>
              <w:rPr>
                <w:rFonts w:hint="eastAsia"/>
                <w:sz w:val="21"/>
                <w:szCs w:val="21"/>
              </w:rPr>
              <w:t>数量</w:t>
            </w:r>
          </w:p>
        </w:tc>
        <w:tc>
          <w:tcPr>
            <w:tcW w:w="2074" w:type="dxa"/>
            <w:vAlign w:val="center"/>
          </w:tcPr>
          <w:p>
            <w:pPr>
              <w:jc w:val="center"/>
              <w:rPr>
                <w:sz w:val="21"/>
                <w:szCs w:val="21"/>
              </w:rPr>
            </w:pPr>
            <w:r>
              <w:rPr>
                <w:rFonts w:hint="eastAsia"/>
                <w:sz w:val="21"/>
                <w:szCs w:val="21"/>
              </w:rPr>
              <w:t>占比</w:t>
            </w:r>
          </w:p>
        </w:tc>
      </w:tr>
      <w:tr>
        <w:trPr>
          <w:cantSplit/>
        </w:trPr>
        <w:tc>
          <w:tcPr>
            <w:tcW w:w="4148" w:type="dxa"/>
            <w:gridSpan w:val="3"/>
            <w:vAlign w:val="center"/>
          </w:tcPr>
          <w:p>
            <w:pPr>
              <w:jc w:val="center"/>
              <w:rPr>
                <w:sz w:val="21"/>
                <w:szCs w:val="21"/>
              </w:rPr>
            </w:pPr>
            <w:r>
              <w:rPr>
                <w:rFonts w:hint="eastAsia"/>
                <w:sz w:val="21"/>
                <w:szCs w:val="21"/>
              </w:rPr>
              <w:t>专业教师总数</w:t>
            </w:r>
          </w:p>
        </w:tc>
        <w:tc>
          <w:tcPr>
            <w:tcW w:w="2074" w:type="dxa"/>
            <w:vAlign w:val="center"/>
          </w:tcPr>
          <w:p>
            <w:pPr>
              <w:jc w:val="center"/>
              <w:rPr>
                <w:sz w:val="21"/>
                <w:szCs w:val="21"/>
              </w:rPr>
            </w:pPr>
            <w:r>
              <w:rPr>
                <w:sz w:val="21"/>
                <w:szCs w:val="21"/>
              </w:rPr>
              <w:t>10</w:t>
            </w:r>
          </w:p>
        </w:tc>
        <w:tc>
          <w:tcPr>
            <w:tcW w:w="2074" w:type="dxa"/>
            <w:vAlign w:val="center"/>
          </w:tcPr>
          <w:p>
            <w:pPr>
              <w:jc w:val="center"/>
              <w:rPr>
                <w:sz w:val="21"/>
                <w:szCs w:val="21"/>
              </w:rPr>
            </w:pPr>
            <w:r>
              <w:rPr>
                <w:rFonts w:hint="eastAsia"/>
                <w:sz w:val="21"/>
                <w:szCs w:val="21"/>
              </w:rPr>
              <w:t>/</w:t>
            </w:r>
          </w:p>
        </w:tc>
      </w:tr>
      <w:tr>
        <w:trPr>
          <w:cantSplit/>
        </w:trPr>
        <w:tc>
          <w:tcPr>
            <w:tcW w:w="1271" w:type="dxa"/>
            <w:vMerge w:val="restart"/>
            <w:vAlign w:val="center"/>
          </w:tcPr>
          <w:p>
            <w:pPr>
              <w:jc w:val="center"/>
              <w:rPr>
                <w:sz w:val="21"/>
                <w:szCs w:val="21"/>
              </w:rPr>
            </w:pPr>
            <w:r>
              <w:rPr>
                <w:rFonts w:hint="eastAsia"/>
                <w:sz w:val="21"/>
                <w:szCs w:val="21"/>
              </w:rPr>
              <w:t>职称</w:t>
            </w:r>
          </w:p>
        </w:tc>
        <w:tc>
          <w:tcPr>
            <w:tcW w:w="2877" w:type="dxa"/>
            <w:gridSpan w:val="2"/>
            <w:vAlign w:val="center"/>
          </w:tcPr>
          <w:p>
            <w:pPr>
              <w:jc w:val="center"/>
              <w:rPr>
                <w:sz w:val="21"/>
                <w:szCs w:val="21"/>
              </w:rPr>
            </w:pPr>
            <w:r>
              <w:rPr>
                <w:rFonts w:hint="eastAsia"/>
                <w:sz w:val="21"/>
                <w:szCs w:val="21"/>
              </w:rPr>
              <w:t>教授</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10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副教授</w:t>
            </w:r>
          </w:p>
        </w:tc>
        <w:tc>
          <w:tcPr>
            <w:tcW w:w="2074" w:type="dxa"/>
            <w:vAlign w:val="center"/>
          </w:tcPr>
          <w:p>
            <w:pPr>
              <w:jc w:val="center"/>
              <w:rPr>
                <w:sz w:val="21"/>
                <w:szCs w:val="21"/>
              </w:rPr>
            </w:pPr>
            <w:r>
              <w:rPr>
                <w:sz w:val="21"/>
                <w:szCs w:val="21"/>
              </w:rPr>
              <w:t>3</w:t>
            </w:r>
          </w:p>
        </w:tc>
        <w:tc>
          <w:tcPr>
            <w:tcW w:w="2074" w:type="dxa"/>
            <w:vAlign w:val="center"/>
          </w:tcPr>
          <w:p>
            <w:pPr>
              <w:jc w:val="center"/>
              <w:rPr>
                <w:sz w:val="21"/>
                <w:szCs w:val="21"/>
              </w:rPr>
            </w:pPr>
            <w:r>
              <w:rPr>
                <w:sz w:val="21"/>
                <w:szCs w:val="21"/>
              </w:rPr>
              <w:t>30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讲师</w:t>
            </w:r>
          </w:p>
        </w:tc>
        <w:tc>
          <w:tcPr>
            <w:tcW w:w="2074" w:type="dxa"/>
            <w:vAlign w:val="center"/>
          </w:tcPr>
          <w:p>
            <w:pPr>
              <w:jc w:val="center"/>
              <w:rPr>
                <w:sz w:val="21"/>
                <w:szCs w:val="21"/>
              </w:rPr>
            </w:pPr>
            <w:r>
              <w:rPr>
                <w:sz w:val="21"/>
                <w:szCs w:val="21"/>
              </w:rPr>
              <w:t>5</w:t>
            </w:r>
          </w:p>
        </w:tc>
        <w:tc>
          <w:tcPr>
            <w:tcW w:w="2074" w:type="dxa"/>
            <w:vAlign w:val="center"/>
          </w:tcPr>
          <w:p>
            <w:pPr>
              <w:jc w:val="center"/>
              <w:rPr>
                <w:sz w:val="21"/>
                <w:szCs w:val="21"/>
              </w:rPr>
            </w:pPr>
            <w:r>
              <w:rPr>
                <w:sz w:val="21"/>
                <w:szCs w:val="21"/>
              </w:rPr>
              <w:t>50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助教</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其他正高级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其他副高级</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10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其他中级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其他初级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1"/>
              </w:rPr>
              <w:t>未评级</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restart"/>
            <w:vAlign w:val="center"/>
          </w:tcPr>
          <w:p>
            <w:pPr>
              <w:jc w:val="center"/>
              <w:rPr>
                <w:sz w:val="21"/>
                <w:szCs w:val="21"/>
              </w:rPr>
            </w:pPr>
            <w:bookmarkStart w:id="51" w:name="OLE_LINK30"/>
            <w:r>
              <w:rPr>
                <w:rFonts w:hint="eastAsia"/>
                <w:sz w:val="21"/>
                <w:szCs w:val="21"/>
              </w:rPr>
              <w:t>最高学位</w:t>
            </w:r>
            <w:bookmarkEnd w:id="51"/>
          </w:p>
        </w:tc>
        <w:tc>
          <w:tcPr>
            <w:tcW w:w="2877" w:type="dxa"/>
            <w:gridSpan w:val="2"/>
            <w:vAlign w:val="center"/>
          </w:tcPr>
          <w:p>
            <w:pPr>
              <w:jc w:val="center"/>
              <w:rPr>
                <w:sz w:val="21"/>
                <w:szCs w:val="21"/>
              </w:rPr>
            </w:pPr>
            <w:r>
              <w:rPr>
                <w:rFonts w:hint="eastAsia"/>
                <w:sz w:val="21"/>
                <w:szCs w:val="22"/>
              </w:rPr>
              <w:t>博士</w:t>
            </w:r>
          </w:p>
        </w:tc>
        <w:tc>
          <w:tcPr>
            <w:tcW w:w="2074" w:type="dxa"/>
            <w:vAlign w:val="center"/>
          </w:tcPr>
          <w:p>
            <w:pPr>
              <w:jc w:val="center"/>
              <w:rPr>
                <w:sz w:val="21"/>
                <w:szCs w:val="21"/>
              </w:rPr>
            </w:pPr>
            <w:r>
              <w:rPr>
                <w:sz w:val="21"/>
                <w:szCs w:val="21"/>
              </w:rPr>
              <w:t>8</w:t>
            </w:r>
          </w:p>
        </w:tc>
        <w:tc>
          <w:tcPr>
            <w:tcW w:w="2074" w:type="dxa"/>
            <w:vAlign w:val="center"/>
          </w:tcPr>
          <w:p>
            <w:pPr>
              <w:jc w:val="center"/>
              <w:rPr>
                <w:sz w:val="21"/>
                <w:szCs w:val="21"/>
              </w:rPr>
            </w:pPr>
            <w:r>
              <w:rPr>
                <w:sz w:val="21"/>
                <w:szCs w:val="21"/>
              </w:rPr>
              <w:t>80</w:t>
            </w:r>
            <w:bookmarkStart w:id="52" w:name="OLE_LINK31"/>
            <w:bookmarkEnd w:id="52"/>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硕士</w:t>
            </w:r>
          </w:p>
        </w:tc>
        <w:tc>
          <w:tcPr>
            <w:tcW w:w="2074" w:type="dxa"/>
            <w:vAlign w:val="center"/>
          </w:tcPr>
          <w:p>
            <w:pPr>
              <w:jc w:val="center"/>
              <w:rPr>
                <w:sz w:val="21"/>
                <w:szCs w:val="21"/>
              </w:rPr>
            </w:pPr>
            <w:r>
              <w:rPr>
                <w:sz w:val="21"/>
                <w:szCs w:val="21"/>
              </w:rPr>
              <w:t>2</w:t>
            </w:r>
          </w:p>
        </w:tc>
        <w:tc>
          <w:tcPr>
            <w:tcW w:w="2074" w:type="dxa"/>
            <w:vAlign w:val="center"/>
          </w:tcPr>
          <w:p>
            <w:pPr>
              <w:jc w:val="center"/>
              <w:rPr>
                <w:sz w:val="21"/>
                <w:szCs w:val="21"/>
              </w:rPr>
            </w:pPr>
            <w:r>
              <w:rPr>
                <w:sz w:val="21"/>
                <w:szCs w:val="21"/>
              </w:rPr>
              <w:t>20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学士</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hint="eastAsia"/>
                <w:sz w:val="21"/>
                <w:szCs w:val="22"/>
              </w:rPr>
              <w:t>无学位</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restart"/>
            <w:vAlign w:val="center"/>
          </w:tcPr>
          <w:p>
            <w:pPr>
              <w:jc w:val="center"/>
              <w:rPr>
                <w:sz w:val="21"/>
                <w:szCs w:val="21"/>
              </w:rPr>
            </w:pPr>
            <w:r>
              <w:rPr>
                <w:rFonts w:hint="eastAsia"/>
                <w:sz w:val="21"/>
                <w:szCs w:val="21"/>
              </w:rPr>
              <w:t>年龄</w:t>
            </w: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10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2074" w:type="dxa"/>
            <w:vAlign w:val="center"/>
          </w:tcPr>
          <w:p>
            <w:pPr>
              <w:jc w:val="center"/>
              <w:rPr>
                <w:sz w:val="21"/>
                <w:szCs w:val="21"/>
              </w:rPr>
            </w:pPr>
            <w:r>
              <w:rPr>
                <w:sz w:val="21"/>
                <w:szCs w:val="21"/>
              </w:rPr>
              <w:t>8</w:t>
            </w:r>
          </w:p>
        </w:tc>
        <w:tc>
          <w:tcPr>
            <w:tcW w:w="2074" w:type="dxa"/>
            <w:vAlign w:val="center"/>
          </w:tcPr>
          <w:p>
            <w:pPr>
              <w:jc w:val="center"/>
              <w:rPr>
                <w:sz w:val="21"/>
                <w:szCs w:val="21"/>
              </w:rPr>
            </w:pPr>
            <w:r>
              <w:rPr>
                <w:sz w:val="21"/>
                <w:szCs w:val="21"/>
              </w:rPr>
              <w:t>80</w:t>
            </w:r>
            <w:bookmarkStart w:id="53" w:name="OLE_LINK32"/>
            <w:bookmarkEnd w:id="53"/>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10</w:t>
            </w:r>
          </w:p>
        </w:tc>
      </w:tr>
      <w:tr>
        <w:trPr>
          <w:cantSplit/>
        </w:trPr>
        <w:tc>
          <w:tcPr>
            <w:tcW w:w="1271" w:type="dxa"/>
            <w:vMerge w:val="continue"/>
            <w:vAlign w:val="center"/>
          </w:tcPr>
          <w:p>
            <w:pPr>
              <w:jc w:val="center"/>
              <w:rPr>
                <w:sz w:val="21"/>
                <w:szCs w:val="21"/>
              </w:rPr>
            </w:pPr>
          </w:p>
        </w:tc>
        <w:tc>
          <w:tcPr>
            <w:tcW w:w="2877" w:type="dxa"/>
            <w:gridSpan w:val="2"/>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2074"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r>
      <w:tr>
        <w:trPr>
          <w:cantSplit/>
        </w:trPr>
        <w:tc>
          <w:tcPr>
            <w:tcW w:w="1271" w:type="dxa"/>
            <w:vMerge w:val="restart"/>
            <w:vAlign w:val="center"/>
          </w:tcPr>
          <w:p>
            <w:pPr>
              <w:jc w:val="center"/>
              <w:rPr>
                <w:sz w:val="21"/>
                <w:szCs w:val="21"/>
              </w:rPr>
            </w:pPr>
            <w:r>
              <w:rPr>
                <w:rFonts w:hint="eastAsia"/>
                <w:sz w:val="21"/>
                <w:szCs w:val="21"/>
              </w:rPr>
              <w:t>学缘</w:t>
            </w:r>
          </w:p>
        </w:tc>
        <w:tc>
          <w:tcPr>
            <w:tcW w:w="2877" w:type="dxa"/>
            <w:gridSpan w:val="2"/>
            <w:vAlign w:val="center"/>
          </w:tcPr>
          <w:p>
            <w:pPr>
              <w:jc w:val="center"/>
              <w:rPr>
                <w:sz w:val="21"/>
                <w:szCs w:val="21"/>
              </w:rPr>
            </w:pPr>
            <w:bookmarkStart w:id="54" w:name="OLE_LINK27"/>
            <w:r>
              <w:rPr>
                <w:rFonts w:hint="eastAsia"/>
                <w:sz w:val="21"/>
                <w:szCs w:val="22"/>
              </w:rPr>
              <w:t>本校</w:t>
            </w:r>
            <w:bookmarkEnd w:id="54"/>
          </w:p>
        </w:tc>
        <w:tc>
          <w:tcPr>
            <w:tcW w:w="2074" w:type="dxa"/>
            <w:vAlign w:val="center"/>
          </w:tcPr>
          <w:p>
            <w:pPr>
              <w:jc w:val="center"/>
              <w:rPr>
                <w:sz w:val="21"/>
                <w:szCs w:val="21"/>
              </w:rPr>
            </w:pPr>
            <w:r>
              <w:rPr>
                <w:sz w:val="21"/>
                <w:szCs w:val="21"/>
              </w:rPr>
              <w:t>1</w:t>
            </w:r>
            <w:bookmarkStart w:id="55" w:name="OLE_LINK29"/>
            <w:bookmarkEnd w:id="55"/>
          </w:p>
        </w:tc>
        <w:tc>
          <w:tcPr>
            <w:tcW w:w="2074" w:type="dxa"/>
            <w:vAlign w:val="center"/>
          </w:tcPr>
          <w:p>
            <w:pPr>
              <w:jc w:val="center"/>
              <w:rPr>
                <w:sz w:val="21"/>
                <w:szCs w:val="21"/>
              </w:rPr>
            </w:pPr>
            <w:r>
              <w:rPr>
                <w:sz w:val="21"/>
                <w:szCs w:val="21"/>
              </w:rPr>
              <w:t>10</w:t>
            </w:r>
          </w:p>
        </w:tc>
      </w:tr>
      <w:tr>
        <w:trPr>
          <w:cantSplit/>
        </w:trPr>
        <w:tc>
          <w:tcPr>
            <w:tcW w:w="1271" w:type="dxa"/>
            <w:vMerge w:val="continue"/>
            <w:vAlign w:val="center"/>
          </w:tcPr>
          <w:p>
            <w:pPr>
              <w:jc w:val="center"/>
              <w:rPr>
                <w:sz w:val="21"/>
                <w:szCs w:val="21"/>
              </w:rPr>
            </w:pPr>
          </w:p>
        </w:tc>
        <w:tc>
          <w:tcPr>
            <w:tcW w:w="1276" w:type="dxa"/>
            <w:vMerge w:val="restart"/>
            <w:vAlign w:val="center"/>
          </w:tcPr>
          <w:p>
            <w:pPr>
              <w:jc w:val="center"/>
              <w:rPr>
                <w:sz w:val="21"/>
                <w:szCs w:val="21"/>
              </w:rPr>
            </w:pPr>
            <w:bookmarkStart w:id="56" w:name="OLE_LINK28"/>
            <w:r>
              <w:rPr>
                <w:rFonts w:hint="eastAsia"/>
                <w:sz w:val="21"/>
                <w:szCs w:val="22"/>
              </w:rPr>
              <w:t>外校</w:t>
            </w:r>
            <w:bookmarkEnd w:id="56"/>
          </w:p>
        </w:tc>
        <w:tc>
          <w:tcPr>
            <w:tcW w:w="1601" w:type="dxa"/>
            <w:vAlign w:val="center"/>
          </w:tcPr>
          <w:p>
            <w:pPr>
              <w:jc w:val="center"/>
              <w:rPr>
                <w:sz w:val="21"/>
                <w:szCs w:val="21"/>
              </w:rPr>
            </w:pPr>
            <w:r>
              <w:rPr>
                <w:rFonts w:hint="eastAsia"/>
                <w:sz w:val="21"/>
                <w:szCs w:val="22"/>
              </w:rPr>
              <w:t>境内</w:t>
            </w:r>
          </w:p>
        </w:tc>
        <w:tc>
          <w:tcPr>
            <w:tcW w:w="2074" w:type="dxa"/>
            <w:vAlign w:val="center"/>
          </w:tcPr>
          <w:p>
            <w:pPr>
              <w:jc w:val="center"/>
              <w:rPr>
                <w:sz w:val="21"/>
                <w:szCs w:val="21"/>
              </w:rPr>
            </w:pPr>
            <w:r>
              <w:rPr>
                <w:sz w:val="21"/>
                <w:szCs w:val="21"/>
              </w:rPr>
              <w:t>8</w:t>
            </w:r>
          </w:p>
        </w:tc>
        <w:tc>
          <w:tcPr>
            <w:tcW w:w="2074" w:type="dxa"/>
            <w:vAlign w:val="center"/>
          </w:tcPr>
          <w:p>
            <w:pPr>
              <w:jc w:val="center"/>
              <w:rPr>
                <w:sz w:val="21"/>
                <w:szCs w:val="21"/>
              </w:rPr>
            </w:pPr>
            <w:r>
              <w:rPr>
                <w:sz w:val="21"/>
                <w:szCs w:val="21"/>
              </w:rPr>
              <w:t>80</w:t>
            </w:r>
          </w:p>
        </w:tc>
      </w:tr>
      <w:tr>
        <w:trPr>
          <w:cantSplit/>
        </w:trPr>
        <w:tc>
          <w:tcPr>
            <w:tcW w:w="1271" w:type="dxa"/>
            <w:vMerge w:val="continue"/>
            <w:vAlign w:val="center"/>
          </w:tcPr>
          <w:p>
            <w:pPr>
              <w:jc w:val="center"/>
              <w:rPr>
                <w:sz w:val="21"/>
                <w:szCs w:val="21"/>
              </w:rPr>
            </w:pPr>
          </w:p>
        </w:tc>
        <w:tc>
          <w:tcPr>
            <w:tcW w:w="1276" w:type="dxa"/>
            <w:vMerge w:val="continue"/>
            <w:vAlign w:val="center"/>
          </w:tcPr>
          <w:p>
            <w:pPr>
              <w:jc w:val="center"/>
              <w:rPr>
                <w:sz w:val="21"/>
                <w:szCs w:val="21"/>
              </w:rPr>
            </w:pPr>
          </w:p>
        </w:tc>
        <w:tc>
          <w:tcPr>
            <w:tcW w:w="1601" w:type="dxa"/>
            <w:vAlign w:val="center"/>
          </w:tcPr>
          <w:p>
            <w:pPr>
              <w:jc w:val="center"/>
              <w:rPr>
                <w:sz w:val="21"/>
                <w:szCs w:val="21"/>
              </w:rPr>
            </w:pPr>
            <w:r>
              <w:rPr>
                <w:rFonts w:hint="eastAsia"/>
                <w:sz w:val="21"/>
                <w:szCs w:val="22"/>
              </w:rPr>
              <w:t>境外</w:t>
            </w:r>
          </w:p>
        </w:tc>
        <w:tc>
          <w:tcPr>
            <w:tcW w:w="2074" w:type="dxa"/>
            <w:vAlign w:val="center"/>
          </w:tcPr>
          <w:p>
            <w:pPr>
              <w:jc w:val="center"/>
              <w:rPr>
                <w:sz w:val="21"/>
                <w:szCs w:val="21"/>
              </w:rPr>
            </w:pPr>
            <w:r>
              <w:rPr>
                <w:sz w:val="21"/>
                <w:szCs w:val="21"/>
              </w:rPr>
              <w:t>1</w:t>
            </w:r>
          </w:p>
        </w:tc>
        <w:tc>
          <w:tcPr>
            <w:tcW w:w="2074" w:type="dxa"/>
            <w:vAlign w:val="center"/>
          </w:tcPr>
          <w:p>
            <w:pPr>
              <w:jc w:val="center"/>
              <w:rPr>
                <w:sz w:val="21"/>
                <w:szCs w:val="21"/>
              </w:rPr>
            </w:pPr>
            <w:r>
              <w:rPr>
                <w:sz w:val="21"/>
                <w:szCs w:val="21"/>
              </w:rPr>
              <w:t>10</w:t>
            </w:r>
          </w:p>
        </w:tc>
      </w:tr>
    </w:tbl>
    <w:p/>
    <w:p>
      <w:pPr>
        <w:pStyle w:val="4"/>
        <w:rPr>
          <w:rFonts w:ascii="宋体" w:hAnsi="宋体" w:eastAsia="宋体"/>
          <w:b w:val="0"/>
          <w:bCs w:val="0"/>
          <w:sz w:val="24"/>
          <w:szCs w:val="24"/>
        </w:rPr>
      </w:pPr>
      <w:bookmarkStart w:id="57" w:name="_Toc154735780"/>
      <w:r>
        <w:rPr>
          <w:rFonts w:ascii="宋体" w:hAnsi="宋体" w:eastAsia="宋体"/>
          <w:b w:val="0"/>
          <w:bCs w:val="0"/>
          <w:sz w:val="24"/>
          <w:szCs w:val="24"/>
        </w:rPr>
        <w:t>4.2授课师资分析</w:t>
      </w:r>
      <w:bookmarkEnd w:id="57"/>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4.2.1专业课校内授课教师职称情况分析</w:t>
      </w:r>
    </w:p>
    <w:p>
      <w:pPr>
        <w:widowControl w:val="0"/>
        <w:spacing w:line="360" w:lineRule="auto"/>
        <w:ind w:firstLine="480" w:firstLineChars="200"/>
      </w:pPr>
      <w:r>
        <w:rPr>
          <w:rFonts w:ascii="仿宋" w:hAnsi="仿宋" w:eastAsia="仿宋" w:cstheme="minorBidi"/>
          <w:kern w:val="2"/>
        </w:rPr>
        <w:t>专业课校内授课教师</w:t>
      </w:r>
      <w:r>
        <w:rPr>
          <w:rFonts w:hint="eastAsia" w:ascii="仿宋" w:hAnsi="仿宋" w:eastAsia="仿宋" w:cstheme="minorBidi"/>
          <w:kern w:val="2"/>
        </w:rPr>
        <w:t>总共103人，其中正高级15人，副高级39人。核心课授课教师41人，其中教授6人，副教授17人。</w:t>
      </w:r>
      <w:r>
        <w:rPr>
          <w:rFonts w:ascii="仿宋" w:hAnsi="仿宋" w:eastAsia="仿宋" w:cstheme="minorBidi"/>
          <w:kern w:val="2"/>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126"/>
        <w:gridCol w:w="1418"/>
        <w:gridCol w:w="1701"/>
        <w:gridCol w:w="1184"/>
      </w:tblGrid>
      <w:tr>
        <w:tc>
          <w:tcPr>
            <w:tcW w:w="2093"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212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41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70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bookmarkStart w:id="58" w:name="OLE_LINK33"/>
            <w:r>
              <w:rPr>
                <w:rFonts w:hint="eastAsia"/>
                <w:sz w:val="21"/>
                <w:szCs w:val="21"/>
              </w:rPr>
              <w:t>核心课授课</w:t>
            </w:r>
            <w:bookmarkEnd w:id="58"/>
            <w:r>
              <w:rPr>
                <w:rFonts w:hint="eastAsia"/>
                <w:sz w:val="21"/>
                <w:szCs w:val="21"/>
              </w:rPr>
              <w:t>教师</w:t>
            </w:r>
          </w:p>
        </w:tc>
        <w:tc>
          <w:tcPr>
            <w:tcW w:w="118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2093" w:type="dxa"/>
            <w:vAlign w:val="center"/>
          </w:tcPr>
          <w:p>
            <w:pPr>
              <w:jc w:val="center"/>
              <w:rPr>
                <w:sz w:val="21"/>
                <w:szCs w:val="21"/>
              </w:rPr>
            </w:pPr>
            <w:r>
              <w:rPr>
                <w:rFonts w:hint="eastAsia"/>
                <w:sz w:val="21"/>
                <w:szCs w:val="21"/>
              </w:rPr>
              <w:t>总数</w:t>
            </w:r>
          </w:p>
        </w:tc>
        <w:tc>
          <w:tcPr>
            <w:tcW w:w="2126" w:type="dxa"/>
            <w:vAlign w:val="center"/>
          </w:tcPr>
          <w:p>
            <w:pPr>
              <w:jc w:val="center"/>
              <w:rPr>
                <w:sz w:val="21"/>
                <w:szCs w:val="21"/>
              </w:rPr>
            </w:pPr>
            <w:r>
              <w:rPr>
                <w:sz w:val="21"/>
                <w:szCs w:val="21"/>
              </w:rPr>
              <w:t>103</w:t>
            </w:r>
          </w:p>
        </w:tc>
        <w:tc>
          <w:tcPr>
            <w:tcW w:w="1418" w:type="dxa"/>
            <w:vAlign w:val="center"/>
          </w:tcPr>
          <w:p>
            <w:pPr>
              <w:jc w:val="center"/>
              <w:rPr>
                <w:sz w:val="21"/>
                <w:szCs w:val="21"/>
              </w:rPr>
            </w:pPr>
            <w:r>
              <w:rPr>
                <w:rFonts w:hint="eastAsia"/>
                <w:sz w:val="21"/>
                <w:szCs w:val="21"/>
              </w:rPr>
              <w:t>/</w:t>
            </w:r>
          </w:p>
        </w:tc>
        <w:tc>
          <w:tcPr>
            <w:tcW w:w="1701" w:type="dxa"/>
            <w:vAlign w:val="center"/>
          </w:tcPr>
          <w:p>
            <w:pPr>
              <w:jc w:val="center"/>
              <w:rPr>
                <w:sz w:val="21"/>
                <w:szCs w:val="21"/>
              </w:rPr>
            </w:pPr>
            <w:r>
              <w:rPr>
                <w:sz w:val="21"/>
                <w:szCs w:val="21"/>
              </w:rPr>
              <w:t>41</w:t>
            </w:r>
          </w:p>
        </w:tc>
        <w:tc>
          <w:tcPr>
            <w:tcW w:w="1184" w:type="dxa"/>
            <w:vAlign w:val="center"/>
          </w:tcPr>
          <w:p>
            <w:pPr>
              <w:jc w:val="center"/>
              <w:rPr>
                <w:sz w:val="21"/>
                <w:szCs w:val="21"/>
              </w:rPr>
            </w:pPr>
            <w:r>
              <w:rPr>
                <w:rFonts w:hint="eastAsia"/>
                <w:sz w:val="21"/>
                <w:szCs w:val="21"/>
              </w:rPr>
              <w:t>/</w:t>
            </w:r>
          </w:p>
        </w:tc>
      </w:tr>
      <w:tr>
        <w:tc>
          <w:tcPr>
            <w:tcW w:w="2093" w:type="dxa"/>
            <w:vAlign w:val="center"/>
          </w:tcPr>
          <w:p>
            <w:pPr>
              <w:jc w:val="center"/>
              <w:rPr>
                <w:sz w:val="21"/>
                <w:szCs w:val="21"/>
              </w:rPr>
            </w:pPr>
            <w:r>
              <w:rPr>
                <w:rFonts w:hint="eastAsia"/>
                <w:sz w:val="21"/>
                <w:szCs w:val="21"/>
              </w:rPr>
              <w:t>教授</w:t>
            </w:r>
          </w:p>
        </w:tc>
        <w:tc>
          <w:tcPr>
            <w:tcW w:w="2126" w:type="dxa"/>
            <w:vAlign w:val="center"/>
          </w:tcPr>
          <w:p>
            <w:pPr>
              <w:jc w:val="center"/>
              <w:rPr>
                <w:sz w:val="21"/>
                <w:szCs w:val="21"/>
              </w:rPr>
            </w:pPr>
            <w:r>
              <w:rPr>
                <w:sz w:val="21"/>
                <w:szCs w:val="21"/>
              </w:rPr>
              <w:t>14</w:t>
            </w:r>
          </w:p>
        </w:tc>
        <w:tc>
          <w:tcPr>
            <w:tcW w:w="1418" w:type="dxa"/>
            <w:vAlign w:val="center"/>
          </w:tcPr>
          <w:p>
            <w:pPr>
              <w:jc w:val="center"/>
              <w:rPr>
                <w:sz w:val="21"/>
                <w:szCs w:val="21"/>
              </w:rPr>
            </w:pPr>
            <w:r>
              <w:rPr>
                <w:sz w:val="21"/>
                <w:szCs w:val="21"/>
              </w:rPr>
              <w:t>13.59</w:t>
            </w:r>
          </w:p>
        </w:tc>
        <w:tc>
          <w:tcPr>
            <w:tcW w:w="1701" w:type="dxa"/>
            <w:vAlign w:val="center"/>
          </w:tcPr>
          <w:p>
            <w:pPr>
              <w:jc w:val="center"/>
              <w:rPr>
                <w:sz w:val="21"/>
                <w:szCs w:val="21"/>
              </w:rPr>
            </w:pPr>
            <w:r>
              <w:rPr>
                <w:sz w:val="21"/>
                <w:szCs w:val="21"/>
              </w:rPr>
              <w:t>6</w:t>
            </w:r>
          </w:p>
        </w:tc>
        <w:tc>
          <w:tcPr>
            <w:tcW w:w="1184" w:type="dxa"/>
            <w:vAlign w:val="center"/>
          </w:tcPr>
          <w:p>
            <w:pPr>
              <w:jc w:val="center"/>
              <w:rPr>
                <w:sz w:val="21"/>
                <w:szCs w:val="21"/>
              </w:rPr>
            </w:pPr>
            <w:r>
              <w:rPr>
                <w:sz w:val="21"/>
                <w:szCs w:val="21"/>
              </w:rPr>
              <w:t>14.63</w:t>
            </w:r>
          </w:p>
        </w:tc>
      </w:tr>
      <w:tr>
        <w:tc>
          <w:tcPr>
            <w:tcW w:w="2093" w:type="dxa"/>
            <w:vAlign w:val="center"/>
          </w:tcPr>
          <w:p>
            <w:pPr>
              <w:jc w:val="center"/>
              <w:rPr>
                <w:sz w:val="21"/>
                <w:szCs w:val="21"/>
              </w:rPr>
            </w:pPr>
            <w:r>
              <w:rPr>
                <w:rFonts w:hint="eastAsia"/>
                <w:sz w:val="21"/>
                <w:szCs w:val="21"/>
              </w:rPr>
              <w:t>副教授</w:t>
            </w:r>
          </w:p>
        </w:tc>
        <w:tc>
          <w:tcPr>
            <w:tcW w:w="2126" w:type="dxa"/>
            <w:vAlign w:val="center"/>
          </w:tcPr>
          <w:p>
            <w:pPr>
              <w:jc w:val="center"/>
              <w:rPr>
                <w:sz w:val="21"/>
                <w:szCs w:val="21"/>
              </w:rPr>
            </w:pPr>
            <w:r>
              <w:rPr>
                <w:sz w:val="21"/>
                <w:szCs w:val="21"/>
              </w:rPr>
              <w:t>37</w:t>
            </w:r>
          </w:p>
        </w:tc>
        <w:tc>
          <w:tcPr>
            <w:tcW w:w="1418" w:type="dxa"/>
            <w:vAlign w:val="center"/>
          </w:tcPr>
          <w:p>
            <w:pPr>
              <w:jc w:val="center"/>
              <w:rPr>
                <w:sz w:val="21"/>
                <w:szCs w:val="21"/>
              </w:rPr>
            </w:pPr>
            <w:r>
              <w:rPr>
                <w:sz w:val="21"/>
                <w:szCs w:val="21"/>
              </w:rPr>
              <w:t>35.92</w:t>
            </w:r>
          </w:p>
        </w:tc>
        <w:tc>
          <w:tcPr>
            <w:tcW w:w="1701" w:type="dxa"/>
            <w:vAlign w:val="center"/>
          </w:tcPr>
          <w:p>
            <w:pPr>
              <w:jc w:val="center"/>
              <w:rPr>
                <w:sz w:val="21"/>
                <w:szCs w:val="21"/>
              </w:rPr>
            </w:pPr>
            <w:r>
              <w:rPr>
                <w:sz w:val="21"/>
                <w:szCs w:val="21"/>
              </w:rPr>
              <w:t>17</w:t>
            </w:r>
          </w:p>
        </w:tc>
        <w:tc>
          <w:tcPr>
            <w:tcW w:w="1184" w:type="dxa"/>
            <w:vAlign w:val="center"/>
          </w:tcPr>
          <w:p>
            <w:pPr>
              <w:jc w:val="center"/>
              <w:rPr>
                <w:sz w:val="21"/>
                <w:szCs w:val="21"/>
              </w:rPr>
            </w:pPr>
            <w:r>
              <w:rPr>
                <w:sz w:val="21"/>
                <w:szCs w:val="21"/>
              </w:rPr>
              <w:t>41.46</w:t>
            </w:r>
            <w:bookmarkStart w:id="59" w:name="OLE_LINK34"/>
            <w:bookmarkEnd w:id="59"/>
          </w:p>
        </w:tc>
      </w:tr>
      <w:tr>
        <w:tc>
          <w:tcPr>
            <w:tcW w:w="2093" w:type="dxa"/>
            <w:vAlign w:val="center"/>
          </w:tcPr>
          <w:p>
            <w:pPr>
              <w:jc w:val="center"/>
              <w:rPr>
                <w:sz w:val="21"/>
                <w:szCs w:val="21"/>
              </w:rPr>
            </w:pPr>
            <w:r>
              <w:rPr>
                <w:rFonts w:hint="eastAsia"/>
                <w:sz w:val="21"/>
                <w:szCs w:val="21"/>
              </w:rPr>
              <w:t>讲师</w:t>
            </w:r>
          </w:p>
        </w:tc>
        <w:tc>
          <w:tcPr>
            <w:tcW w:w="2126" w:type="dxa"/>
            <w:vAlign w:val="center"/>
          </w:tcPr>
          <w:p>
            <w:pPr>
              <w:jc w:val="center"/>
              <w:rPr>
                <w:sz w:val="21"/>
                <w:szCs w:val="21"/>
              </w:rPr>
            </w:pPr>
            <w:r>
              <w:rPr>
                <w:sz w:val="21"/>
                <w:szCs w:val="21"/>
              </w:rPr>
              <w:t>39</w:t>
            </w:r>
          </w:p>
        </w:tc>
        <w:tc>
          <w:tcPr>
            <w:tcW w:w="1418" w:type="dxa"/>
            <w:vAlign w:val="center"/>
          </w:tcPr>
          <w:p>
            <w:pPr>
              <w:jc w:val="center"/>
              <w:rPr>
                <w:sz w:val="21"/>
                <w:szCs w:val="21"/>
              </w:rPr>
            </w:pPr>
            <w:r>
              <w:rPr>
                <w:sz w:val="21"/>
                <w:szCs w:val="21"/>
              </w:rPr>
              <w:t>37.86</w:t>
            </w:r>
          </w:p>
        </w:tc>
        <w:tc>
          <w:tcPr>
            <w:tcW w:w="1701" w:type="dxa"/>
            <w:vAlign w:val="center"/>
          </w:tcPr>
          <w:p>
            <w:pPr>
              <w:jc w:val="center"/>
              <w:rPr>
                <w:sz w:val="21"/>
                <w:szCs w:val="21"/>
              </w:rPr>
            </w:pPr>
            <w:r>
              <w:rPr>
                <w:sz w:val="21"/>
                <w:szCs w:val="21"/>
              </w:rPr>
              <w:t>16</w:t>
            </w:r>
          </w:p>
        </w:tc>
        <w:tc>
          <w:tcPr>
            <w:tcW w:w="1184" w:type="dxa"/>
            <w:vAlign w:val="center"/>
          </w:tcPr>
          <w:p>
            <w:pPr>
              <w:jc w:val="center"/>
              <w:rPr>
                <w:sz w:val="21"/>
                <w:szCs w:val="21"/>
              </w:rPr>
            </w:pPr>
            <w:r>
              <w:rPr>
                <w:sz w:val="21"/>
                <w:szCs w:val="21"/>
              </w:rPr>
              <w:t>39.02</w:t>
            </w:r>
          </w:p>
        </w:tc>
      </w:tr>
      <w:tr>
        <w:tc>
          <w:tcPr>
            <w:tcW w:w="2093" w:type="dxa"/>
            <w:vAlign w:val="center"/>
          </w:tcPr>
          <w:p>
            <w:pPr>
              <w:jc w:val="center"/>
              <w:rPr>
                <w:sz w:val="21"/>
                <w:szCs w:val="21"/>
              </w:rPr>
            </w:pPr>
            <w:r>
              <w:rPr>
                <w:rFonts w:hint="eastAsia"/>
                <w:sz w:val="21"/>
                <w:szCs w:val="21"/>
              </w:rPr>
              <w:t>助教</w:t>
            </w:r>
          </w:p>
        </w:tc>
        <w:tc>
          <w:tcPr>
            <w:tcW w:w="2126" w:type="dxa"/>
            <w:vAlign w:val="center"/>
          </w:tcPr>
          <w:p>
            <w:pPr>
              <w:jc w:val="center"/>
              <w:rPr>
                <w:sz w:val="21"/>
                <w:szCs w:val="21"/>
              </w:rPr>
            </w:pPr>
            <w:r>
              <w:rPr>
                <w:sz w:val="21"/>
                <w:szCs w:val="21"/>
              </w:rPr>
              <w:t>0</w:t>
            </w:r>
          </w:p>
        </w:tc>
        <w:tc>
          <w:tcPr>
            <w:tcW w:w="1418" w:type="dxa"/>
            <w:vAlign w:val="center"/>
          </w:tcPr>
          <w:p>
            <w:pPr>
              <w:jc w:val="center"/>
              <w:rPr>
                <w:sz w:val="21"/>
                <w:szCs w:val="21"/>
              </w:rPr>
            </w:pPr>
            <w:r>
              <w:rPr>
                <w:sz w:val="21"/>
                <w:szCs w:val="21"/>
              </w:rPr>
              <w:t>0</w:t>
            </w:r>
          </w:p>
        </w:tc>
        <w:tc>
          <w:tcPr>
            <w:tcW w:w="1701" w:type="dxa"/>
            <w:vAlign w:val="center"/>
          </w:tcPr>
          <w:p>
            <w:pPr>
              <w:jc w:val="center"/>
              <w:rPr>
                <w:sz w:val="21"/>
                <w:szCs w:val="21"/>
              </w:rPr>
            </w:pPr>
            <w:r>
              <w:rPr>
                <w:sz w:val="21"/>
                <w:szCs w:val="21"/>
              </w:rPr>
              <w:t>0</w:t>
            </w:r>
          </w:p>
        </w:tc>
        <w:tc>
          <w:tcPr>
            <w:tcW w:w="1184" w:type="dxa"/>
            <w:vAlign w:val="center"/>
          </w:tcPr>
          <w:p>
            <w:pPr>
              <w:jc w:val="center"/>
              <w:rPr>
                <w:sz w:val="21"/>
                <w:szCs w:val="21"/>
              </w:rPr>
            </w:pPr>
            <w:r>
              <w:rPr>
                <w:sz w:val="21"/>
                <w:szCs w:val="21"/>
              </w:rPr>
              <w:t>0</w:t>
            </w:r>
          </w:p>
        </w:tc>
      </w:tr>
      <w:tr>
        <w:tc>
          <w:tcPr>
            <w:tcW w:w="2093" w:type="dxa"/>
            <w:vAlign w:val="center"/>
          </w:tcPr>
          <w:p>
            <w:pPr>
              <w:jc w:val="center"/>
              <w:rPr>
                <w:sz w:val="21"/>
                <w:szCs w:val="21"/>
              </w:rPr>
            </w:pPr>
            <w:r>
              <w:rPr>
                <w:rFonts w:hint="eastAsia"/>
                <w:sz w:val="21"/>
                <w:szCs w:val="21"/>
              </w:rPr>
              <w:t>其他正高级</w:t>
            </w:r>
          </w:p>
        </w:tc>
        <w:tc>
          <w:tcPr>
            <w:tcW w:w="2126" w:type="dxa"/>
            <w:vAlign w:val="center"/>
          </w:tcPr>
          <w:p>
            <w:pPr>
              <w:jc w:val="center"/>
              <w:rPr>
                <w:sz w:val="21"/>
                <w:szCs w:val="21"/>
              </w:rPr>
            </w:pPr>
            <w:r>
              <w:rPr>
                <w:sz w:val="21"/>
                <w:szCs w:val="21"/>
              </w:rPr>
              <w:t>1</w:t>
            </w:r>
          </w:p>
        </w:tc>
        <w:tc>
          <w:tcPr>
            <w:tcW w:w="1418" w:type="dxa"/>
            <w:vAlign w:val="center"/>
          </w:tcPr>
          <w:p>
            <w:pPr>
              <w:jc w:val="center"/>
              <w:rPr>
                <w:sz w:val="21"/>
                <w:szCs w:val="21"/>
              </w:rPr>
            </w:pPr>
            <w:r>
              <w:rPr>
                <w:sz w:val="21"/>
                <w:szCs w:val="21"/>
              </w:rPr>
              <w:t>0.97</w:t>
            </w:r>
          </w:p>
        </w:tc>
        <w:tc>
          <w:tcPr>
            <w:tcW w:w="1701" w:type="dxa"/>
            <w:vAlign w:val="center"/>
          </w:tcPr>
          <w:p>
            <w:pPr>
              <w:jc w:val="center"/>
              <w:rPr>
                <w:sz w:val="21"/>
                <w:szCs w:val="21"/>
              </w:rPr>
            </w:pPr>
            <w:r>
              <w:rPr>
                <w:sz w:val="21"/>
                <w:szCs w:val="21"/>
              </w:rPr>
              <w:t>0</w:t>
            </w:r>
          </w:p>
        </w:tc>
        <w:tc>
          <w:tcPr>
            <w:tcW w:w="1184" w:type="dxa"/>
            <w:vAlign w:val="center"/>
          </w:tcPr>
          <w:p>
            <w:pPr>
              <w:jc w:val="center"/>
              <w:rPr>
                <w:sz w:val="21"/>
                <w:szCs w:val="21"/>
              </w:rPr>
            </w:pPr>
            <w:r>
              <w:rPr>
                <w:sz w:val="21"/>
                <w:szCs w:val="21"/>
              </w:rPr>
              <w:t>0</w:t>
            </w:r>
          </w:p>
        </w:tc>
      </w:tr>
      <w:tr>
        <w:tc>
          <w:tcPr>
            <w:tcW w:w="2093" w:type="dxa"/>
            <w:vAlign w:val="center"/>
          </w:tcPr>
          <w:p>
            <w:pPr>
              <w:jc w:val="center"/>
              <w:rPr>
                <w:sz w:val="21"/>
                <w:szCs w:val="21"/>
              </w:rPr>
            </w:pPr>
            <w:r>
              <w:rPr>
                <w:rFonts w:hint="eastAsia"/>
                <w:sz w:val="21"/>
                <w:szCs w:val="21"/>
              </w:rPr>
              <w:t>其他副高级</w:t>
            </w:r>
          </w:p>
        </w:tc>
        <w:tc>
          <w:tcPr>
            <w:tcW w:w="2126" w:type="dxa"/>
            <w:vAlign w:val="center"/>
          </w:tcPr>
          <w:p>
            <w:pPr>
              <w:jc w:val="center"/>
              <w:rPr>
                <w:sz w:val="21"/>
                <w:szCs w:val="21"/>
              </w:rPr>
            </w:pPr>
            <w:r>
              <w:rPr>
                <w:sz w:val="21"/>
                <w:szCs w:val="21"/>
              </w:rPr>
              <w:t>2</w:t>
            </w:r>
          </w:p>
        </w:tc>
        <w:tc>
          <w:tcPr>
            <w:tcW w:w="1418" w:type="dxa"/>
            <w:vAlign w:val="center"/>
          </w:tcPr>
          <w:p>
            <w:pPr>
              <w:jc w:val="center"/>
              <w:rPr>
                <w:sz w:val="21"/>
                <w:szCs w:val="21"/>
              </w:rPr>
            </w:pPr>
            <w:r>
              <w:rPr>
                <w:sz w:val="21"/>
                <w:szCs w:val="21"/>
              </w:rPr>
              <w:t>1.94</w:t>
            </w:r>
          </w:p>
        </w:tc>
        <w:tc>
          <w:tcPr>
            <w:tcW w:w="1701" w:type="dxa"/>
            <w:vAlign w:val="center"/>
          </w:tcPr>
          <w:p>
            <w:pPr>
              <w:jc w:val="center"/>
              <w:rPr>
                <w:sz w:val="21"/>
                <w:szCs w:val="21"/>
              </w:rPr>
            </w:pPr>
            <w:r>
              <w:rPr>
                <w:sz w:val="21"/>
                <w:szCs w:val="21"/>
              </w:rPr>
              <w:t>1</w:t>
            </w:r>
          </w:p>
        </w:tc>
        <w:tc>
          <w:tcPr>
            <w:tcW w:w="1184" w:type="dxa"/>
            <w:vAlign w:val="center"/>
          </w:tcPr>
          <w:p>
            <w:pPr>
              <w:jc w:val="center"/>
              <w:rPr>
                <w:sz w:val="21"/>
                <w:szCs w:val="21"/>
              </w:rPr>
            </w:pPr>
            <w:r>
              <w:rPr>
                <w:sz w:val="21"/>
                <w:szCs w:val="21"/>
              </w:rPr>
              <w:t>2.44</w:t>
            </w:r>
          </w:p>
        </w:tc>
      </w:tr>
      <w:tr>
        <w:tc>
          <w:tcPr>
            <w:tcW w:w="2093" w:type="dxa"/>
            <w:vAlign w:val="center"/>
          </w:tcPr>
          <w:p>
            <w:pPr>
              <w:jc w:val="center"/>
              <w:rPr>
                <w:sz w:val="21"/>
                <w:szCs w:val="21"/>
              </w:rPr>
            </w:pPr>
            <w:r>
              <w:rPr>
                <w:rFonts w:hint="eastAsia"/>
                <w:sz w:val="21"/>
                <w:szCs w:val="21"/>
              </w:rPr>
              <w:t>其他中级</w:t>
            </w:r>
          </w:p>
        </w:tc>
        <w:tc>
          <w:tcPr>
            <w:tcW w:w="2126" w:type="dxa"/>
            <w:vAlign w:val="center"/>
          </w:tcPr>
          <w:p>
            <w:pPr>
              <w:jc w:val="center"/>
              <w:rPr>
                <w:sz w:val="21"/>
                <w:szCs w:val="21"/>
              </w:rPr>
            </w:pPr>
            <w:r>
              <w:rPr>
                <w:sz w:val="21"/>
                <w:szCs w:val="21"/>
              </w:rPr>
              <w:t>10</w:t>
            </w:r>
          </w:p>
        </w:tc>
        <w:tc>
          <w:tcPr>
            <w:tcW w:w="1418" w:type="dxa"/>
            <w:vAlign w:val="center"/>
          </w:tcPr>
          <w:p>
            <w:pPr>
              <w:jc w:val="center"/>
              <w:rPr>
                <w:sz w:val="21"/>
                <w:szCs w:val="21"/>
              </w:rPr>
            </w:pPr>
            <w:r>
              <w:rPr>
                <w:sz w:val="21"/>
                <w:szCs w:val="21"/>
              </w:rPr>
              <w:t>9.71</w:t>
            </w:r>
          </w:p>
        </w:tc>
        <w:tc>
          <w:tcPr>
            <w:tcW w:w="1701" w:type="dxa"/>
            <w:vAlign w:val="center"/>
          </w:tcPr>
          <w:p>
            <w:pPr>
              <w:jc w:val="center"/>
              <w:rPr>
                <w:sz w:val="21"/>
                <w:szCs w:val="21"/>
              </w:rPr>
            </w:pPr>
            <w:r>
              <w:rPr>
                <w:sz w:val="21"/>
                <w:szCs w:val="21"/>
              </w:rPr>
              <w:t>1</w:t>
            </w:r>
          </w:p>
        </w:tc>
        <w:tc>
          <w:tcPr>
            <w:tcW w:w="1184" w:type="dxa"/>
            <w:vAlign w:val="center"/>
          </w:tcPr>
          <w:p>
            <w:pPr>
              <w:jc w:val="center"/>
              <w:rPr>
                <w:sz w:val="21"/>
                <w:szCs w:val="21"/>
              </w:rPr>
            </w:pPr>
            <w:r>
              <w:rPr>
                <w:sz w:val="21"/>
                <w:szCs w:val="21"/>
              </w:rPr>
              <w:t>2.44</w:t>
            </w:r>
          </w:p>
        </w:tc>
      </w:tr>
      <w:tr>
        <w:tc>
          <w:tcPr>
            <w:tcW w:w="2093" w:type="dxa"/>
            <w:vAlign w:val="center"/>
          </w:tcPr>
          <w:p>
            <w:pPr>
              <w:jc w:val="center"/>
              <w:rPr>
                <w:sz w:val="21"/>
                <w:szCs w:val="21"/>
              </w:rPr>
            </w:pPr>
            <w:r>
              <w:rPr>
                <w:rFonts w:hint="eastAsia"/>
                <w:sz w:val="21"/>
                <w:szCs w:val="21"/>
              </w:rPr>
              <w:t>其他初级</w:t>
            </w:r>
          </w:p>
        </w:tc>
        <w:tc>
          <w:tcPr>
            <w:tcW w:w="2126" w:type="dxa"/>
            <w:vAlign w:val="center"/>
          </w:tcPr>
          <w:p>
            <w:pPr>
              <w:jc w:val="center"/>
              <w:rPr>
                <w:sz w:val="21"/>
                <w:szCs w:val="21"/>
              </w:rPr>
            </w:pPr>
            <w:r>
              <w:rPr>
                <w:sz w:val="21"/>
                <w:szCs w:val="21"/>
              </w:rPr>
              <w:t>0</w:t>
            </w:r>
          </w:p>
        </w:tc>
        <w:tc>
          <w:tcPr>
            <w:tcW w:w="1418" w:type="dxa"/>
            <w:vAlign w:val="center"/>
          </w:tcPr>
          <w:p>
            <w:pPr>
              <w:jc w:val="center"/>
              <w:rPr>
                <w:sz w:val="21"/>
                <w:szCs w:val="21"/>
              </w:rPr>
            </w:pPr>
            <w:r>
              <w:rPr>
                <w:sz w:val="21"/>
                <w:szCs w:val="21"/>
              </w:rPr>
              <w:t>0</w:t>
            </w:r>
          </w:p>
        </w:tc>
        <w:tc>
          <w:tcPr>
            <w:tcW w:w="1701" w:type="dxa"/>
            <w:vAlign w:val="center"/>
          </w:tcPr>
          <w:p>
            <w:pPr>
              <w:jc w:val="center"/>
              <w:rPr>
                <w:sz w:val="21"/>
                <w:szCs w:val="21"/>
              </w:rPr>
            </w:pPr>
            <w:r>
              <w:rPr>
                <w:sz w:val="21"/>
                <w:szCs w:val="21"/>
              </w:rPr>
              <w:t>0</w:t>
            </w:r>
          </w:p>
        </w:tc>
        <w:tc>
          <w:tcPr>
            <w:tcW w:w="1184" w:type="dxa"/>
            <w:vAlign w:val="center"/>
          </w:tcPr>
          <w:p>
            <w:pPr>
              <w:jc w:val="center"/>
              <w:rPr>
                <w:sz w:val="21"/>
                <w:szCs w:val="21"/>
              </w:rPr>
            </w:pPr>
            <w:r>
              <w:rPr>
                <w:sz w:val="21"/>
                <w:szCs w:val="21"/>
              </w:rPr>
              <w:t>0</w:t>
            </w:r>
          </w:p>
        </w:tc>
      </w:tr>
      <w:tr>
        <w:tc>
          <w:tcPr>
            <w:tcW w:w="2093" w:type="dxa"/>
            <w:vAlign w:val="center"/>
          </w:tcPr>
          <w:p>
            <w:pPr>
              <w:jc w:val="center"/>
              <w:rPr>
                <w:sz w:val="21"/>
                <w:szCs w:val="21"/>
              </w:rPr>
            </w:pPr>
            <w:r>
              <w:rPr>
                <w:rFonts w:hint="eastAsia"/>
                <w:sz w:val="21"/>
                <w:szCs w:val="21"/>
              </w:rPr>
              <w:t>未评级</w:t>
            </w:r>
          </w:p>
        </w:tc>
        <w:tc>
          <w:tcPr>
            <w:tcW w:w="2126" w:type="dxa"/>
            <w:vAlign w:val="center"/>
          </w:tcPr>
          <w:p>
            <w:pPr>
              <w:jc w:val="center"/>
              <w:rPr>
                <w:sz w:val="21"/>
                <w:szCs w:val="21"/>
              </w:rPr>
            </w:pPr>
            <w:r>
              <w:rPr>
                <w:sz w:val="21"/>
                <w:szCs w:val="21"/>
              </w:rPr>
              <w:t>0</w:t>
            </w:r>
          </w:p>
        </w:tc>
        <w:tc>
          <w:tcPr>
            <w:tcW w:w="1418" w:type="dxa"/>
            <w:vAlign w:val="center"/>
          </w:tcPr>
          <w:p>
            <w:pPr>
              <w:jc w:val="center"/>
              <w:rPr>
                <w:sz w:val="21"/>
                <w:szCs w:val="21"/>
              </w:rPr>
            </w:pPr>
            <w:r>
              <w:rPr>
                <w:sz w:val="21"/>
                <w:szCs w:val="21"/>
              </w:rPr>
              <w:t>0</w:t>
            </w:r>
          </w:p>
        </w:tc>
        <w:tc>
          <w:tcPr>
            <w:tcW w:w="1701" w:type="dxa"/>
            <w:vAlign w:val="center"/>
          </w:tcPr>
          <w:p>
            <w:pPr>
              <w:jc w:val="center"/>
              <w:rPr>
                <w:sz w:val="21"/>
                <w:szCs w:val="21"/>
              </w:rPr>
            </w:pPr>
            <w:r>
              <w:rPr>
                <w:sz w:val="21"/>
                <w:szCs w:val="21"/>
              </w:rPr>
              <w:t>0</w:t>
            </w:r>
          </w:p>
        </w:tc>
        <w:tc>
          <w:tcPr>
            <w:tcW w:w="1184" w:type="dxa"/>
            <w:vAlign w:val="center"/>
          </w:tcPr>
          <w:p>
            <w:pPr>
              <w:jc w:val="center"/>
              <w:rPr>
                <w:sz w:val="21"/>
                <w:szCs w:val="21"/>
              </w:rPr>
            </w:pPr>
            <w:r>
              <w:rPr>
                <w:sz w:val="21"/>
                <w:szCs w:val="21"/>
              </w:rPr>
              <w:t>0</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4.2.2专业课校内授课教师最高学位情况分析</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专业课</w:t>
      </w:r>
      <w:r>
        <w:rPr>
          <w:rFonts w:ascii="仿宋" w:hAnsi="仿宋" w:eastAsia="仿宋" w:cstheme="minorBidi"/>
          <w:kern w:val="2"/>
        </w:rPr>
        <w:t>校内授课教师</w:t>
      </w:r>
      <w:r>
        <w:rPr>
          <w:rFonts w:hint="eastAsia" w:ascii="仿宋" w:hAnsi="仿宋" w:eastAsia="仿宋" w:cstheme="minorBidi"/>
          <w:kern w:val="2"/>
        </w:rPr>
        <w:t>103人，其中</w:t>
      </w:r>
      <w:r>
        <w:rPr>
          <w:rFonts w:ascii="仿宋" w:hAnsi="仿宋" w:eastAsia="仿宋" w:cstheme="minorBidi"/>
          <w:kern w:val="2"/>
        </w:rPr>
        <w:t>最高学位</w:t>
      </w:r>
      <w:r>
        <w:rPr>
          <w:rFonts w:hint="eastAsia" w:ascii="仿宋" w:hAnsi="仿宋" w:eastAsia="仿宋" w:cstheme="minorBidi"/>
          <w:kern w:val="2"/>
        </w:rPr>
        <w:t>为博士的76人，占比73.79%，为硕士的27人，占比26.21%。核心课授课教师共41人，其中博士学位为35人，硕士学位为6人。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776"/>
        <w:gridCol w:w="1628"/>
        <w:gridCol w:w="2074"/>
        <w:gridCol w:w="1925"/>
      </w:tblGrid>
      <w:tr>
        <w:tc>
          <w:tcPr>
            <w:tcW w:w="895"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77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628"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2074"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925"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895" w:type="dxa"/>
            <w:vAlign w:val="center"/>
          </w:tcPr>
          <w:p>
            <w:pPr>
              <w:jc w:val="center"/>
              <w:rPr>
                <w:sz w:val="21"/>
                <w:szCs w:val="21"/>
              </w:rPr>
            </w:pPr>
            <w:r>
              <w:rPr>
                <w:rFonts w:hint="eastAsia"/>
                <w:sz w:val="21"/>
                <w:szCs w:val="22"/>
              </w:rPr>
              <w:t>博士</w:t>
            </w:r>
          </w:p>
        </w:tc>
        <w:tc>
          <w:tcPr>
            <w:tcW w:w="1776" w:type="dxa"/>
            <w:vAlign w:val="center"/>
          </w:tcPr>
          <w:p>
            <w:pPr>
              <w:jc w:val="center"/>
              <w:rPr>
                <w:sz w:val="21"/>
                <w:szCs w:val="21"/>
              </w:rPr>
            </w:pPr>
            <w:r>
              <w:rPr>
                <w:sz w:val="21"/>
                <w:szCs w:val="21"/>
              </w:rPr>
              <w:t>76</w:t>
            </w:r>
          </w:p>
        </w:tc>
        <w:tc>
          <w:tcPr>
            <w:tcW w:w="1628" w:type="dxa"/>
            <w:vAlign w:val="center"/>
          </w:tcPr>
          <w:p>
            <w:pPr>
              <w:jc w:val="center"/>
              <w:rPr>
                <w:sz w:val="21"/>
                <w:szCs w:val="21"/>
              </w:rPr>
            </w:pPr>
            <w:r>
              <w:rPr>
                <w:sz w:val="21"/>
                <w:szCs w:val="21"/>
              </w:rPr>
              <w:t>73.79</w:t>
            </w:r>
          </w:p>
        </w:tc>
        <w:tc>
          <w:tcPr>
            <w:tcW w:w="2074" w:type="dxa"/>
            <w:vAlign w:val="center"/>
          </w:tcPr>
          <w:p>
            <w:pPr>
              <w:jc w:val="center"/>
              <w:rPr>
                <w:sz w:val="21"/>
                <w:szCs w:val="21"/>
              </w:rPr>
            </w:pPr>
            <w:r>
              <w:rPr>
                <w:sz w:val="21"/>
                <w:szCs w:val="21"/>
              </w:rPr>
              <w:t>35</w:t>
            </w:r>
          </w:p>
        </w:tc>
        <w:tc>
          <w:tcPr>
            <w:tcW w:w="1925" w:type="dxa"/>
            <w:vAlign w:val="center"/>
          </w:tcPr>
          <w:p>
            <w:pPr>
              <w:jc w:val="center"/>
              <w:rPr>
                <w:sz w:val="21"/>
                <w:szCs w:val="21"/>
              </w:rPr>
            </w:pPr>
            <w:r>
              <w:rPr>
                <w:sz w:val="21"/>
                <w:szCs w:val="21"/>
              </w:rPr>
              <w:t>85.37</w:t>
            </w:r>
            <w:bookmarkStart w:id="60" w:name="OLE_LINK36"/>
            <w:bookmarkEnd w:id="60"/>
          </w:p>
        </w:tc>
      </w:tr>
      <w:tr>
        <w:tc>
          <w:tcPr>
            <w:tcW w:w="895" w:type="dxa"/>
            <w:vAlign w:val="center"/>
          </w:tcPr>
          <w:p>
            <w:pPr>
              <w:jc w:val="center"/>
              <w:rPr>
                <w:sz w:val="21"/>
                <w:szCs w:val="21"/>
              </w:rPr>
            </w:pPr>
            <w:r>
              <w:rPr>
                <w:rFonts w:hint="eastAsia"/>
                <w:sz w:val="21"/>
                <w:szCs w:val="22"/>
              </w:rPr>
              <w:t>硕士</w:t>
            </w:r>
          </w:p>
        </w:tc>
        <w:tc>
          <w:tcPr>
            <w:tcW w:w="1776" w:type="dxa"/>
            <w:vAlign w:val="center"/>
          </w:tcPr>
          <w:p>
            <w:pPr>
              <w:jc w:val="center"/>
              <w:rPr>
                <w:sz w:val="21"/>
                <w:szCs w:val="21"/>
              </w:rPr>
            </w:pPr>
            <w:r>
              <w:rPr>
                <w:sz w:val="21"/>
                <w:szCs w:val="21"/>
              </w:rPr>
              <w:t>27</w:t>
            </w:r>
          </w:p>
        </w:tc>
        <w:tc>
          <w:tcPr>
            <w:tcW w:w="1628" w:type="dxa"/>
            <w:vAlign w:val="center"/>
          </w:tcPr>
          <w:p>
            <w:pPr>
              <w:jc w:val="center"/>
              <w:rPr>
                <w:sz w:val="21"/>
                <w:szCs w:val="21"/>
              </w:rPr>
            </w:pPr>
            <w:r>
              <w:rPr>
                <w:sz w:val="21"/>
                <w:szCs w:val="21"/>
              </w:rPr>
              <w:t>26.21</w:t>
            </w:r>
            <w:bookmarkStart w:id="61" w:name="OLE_LINK35"/>
            <w:bookmarkEnd w:id="61"/>
          </w:p>
        </w:tc>
        <w:tc>
          <w:tcPr>
            <w:tcW w:w="2074" w:type="dxa"/>
            <w:vAlign w:val="center"/>
          </w:tcPr>
          <w:p>
            <w:pPr>
              <w:jc w:val="center"/>
              <w:rPr>
                <w:sz w:val="21"/>
                <w:szCs w:val="21"/>
              </w:rPr>
            </w:pPr>
            <w:r>
              <w:rPr>
                <w:sz w:val="21"/>
                <w:szCs w:val="21"/>
              </w:rPr>
              <w:t>6</w:t>
            </w:r>
          </w:p>
        </w:tc>
        <w:tc>
          <w:tcPr>
            <w:tcW w:w="1925" w:type="dxa"/>
            <w:vAlign w:val="center"/>
          </w:tcPr>
          <w:p>
            <w:pPr>
              <w:jc w:val="center"/>
              <w:rPr>
                <w:sz w:val="21"/>
                <w:szCs w:val="21"/>
              </w:rPr>
            </w:pPr>
            <w:r>
              <w:rPr>
                <w:sz w:val="21"/>
                <w:szCs w:val="21"/>
              </w:rPr>
              <w:t>14.63</w:t>
            </w:r>
            <w:bookmarkStart w:id="62" w:name="OLE_LINK37"/>
            <w:bookmarkEnd w:id="62"/>
          </w:p>
        </w:tc>
      </w:tr>
      <w:tr>
        <w:tc>
          <w:tcPr>
            <w:tcW w:w="895" w:type="dxa"/>
            <w:vAlign w:val="center"/>
          </w:tcPr>
          <w:p>
            <w:pPr>
              <w:jc w:val="center"/>
              <w:rPr>
                <w:sz w:val="21"/>
                <w:szCs w:val="21"/>
              </w:rPr>
            </w:pPr>
            <w:r>
              <w:rPr>
                <w:rFonts w:hint="eastAsia"/>
                <w:sz w:val="21"/>
                <w:szCs w:val="22"/>
              </w:rPr>
              <w:t>学士</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p>
        </w:tc>
      </w:tr>
      <w:tr>
        <w:tc>
          <w:tcPr>
            <w:tcW w:w="895" w:type="dxa"/>
            <w:vAlign w:val="center"/>
          </w:tcPr>
          <w:p>
            <w:pPr>
              <w:jc w:val="center"/>
              <w:rPr>
                <w:sz w:val="21"/>
                <w:szCs w:val="21"/>
              </w:rPr>
            </w:pPr>
            <w:r>
              <w:rPr>
                <w:rFonts w:hint="eastAsia"/>
                <w:sz w:val="21"/>
                <w:szCs w:val="22"/>
              </w:rPr>
              <w:t>无学位</w:t>
            </w:r>
          </w:p>
        </w:tc>
        <w:tc>
          <w:tcPr>
            <w:tcW w:w="1776" w:type="dxa"/>
            <w:vAlign w:val="center"/>
          </w:tcPr>
          <w:p>
            <w:pPr>
              <w:jc w:val="center"/>
              <w:rPr>
                <w:sz w:val="21"/>
                <w:szCs w:val="21"/>
              </w:rPr>
            </w:pPr>
            <w:r>
              <w:rPr>
                <w:sz w:val="21"/>
                <w:szCs w:val="21"/>
              </w:rPr>
              <w:t>0</w:t>
            </w:r>
          </w:p>
        </w:tc>
        <w:tc>
          <w:tcPr>
            <w:tcW w:w="1628" w:type="dxa"/>
            <w:vAlign w:val="center"/>
          </w:tcPr>
          <w:p>
            <w:pPr>
              <w:jc w:val="center"/>
              <w:rPr>
                <w:sz w:val="21"/>
                <w:szCs w:val="21"/>
              </w:rPr>
            </w:pPr>
            <w:r>
              <w:rPr>
                <w:sz w:val="21"/>
                <w:szCs w:val="21"/>
              </w:rPr>
              <w:t>0</w:t>
            </w:r>
          </w:p>
        </w:tc>
        <w:tc>
          <w:tcPr>
            <w:tcW w:w="2074" w:type="dxa"/>
            <w:vAlign w:val="center"/>
          </w:tcPr>
          <w:p>
            <w:pPr>
              <w:jc w:val="center"/>
              <w:rPr>
                <w:sz w:val="21"/>
                <w:szCs w:val="21"/>
              </w:rPr>
            </w:pPr>
            <w:r>
              <w:rPr>
                <w:sz w:val="21"/>
                <w:szCs w:val="21"/>
              </w:rPr>
              <w:t>0</w:t>
            </w:r>
          </w:p>
        </w:tc>
        <w:tc>
          <w:tcPr>
            <w:tcW w:w="1925" w:type="dxa"/>
            <w:vAlign w:val="center"/>
          </w:tcPr>
          <w:p>
            <w:pPr>
              <w:jc w:val="center"/>
              <w:rPr>
                <w:sz w:val="21"/>
                <w:szCs w:val="21"/>
              </w:rPr>
            </w:pPr>
            <w:r>
              <w:rPr>
                <w:sz w:val="21"/>
                <w:szCs w:val="21"/>
              </w:rPr>
              <w:t>0</w:t>
            </w:r>
            <w:bookmarkStart w:id="63" w:name="OLE_LINK38"/>
            <w:bookmarkEnd w:id="63"/>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4.2.3专业课校内授课教师</w:t>
      </w:r>
      <w:bookmarkStart w:id="64" w:name="OLE_LINK39"/>
      <w:r>
        <w:rPr>
          <w:rFonts w:ascii="宋体" w:hAnsi="宋体" w:eastAsia="宋体" w:cstheme="minorBidi"/>
          <w:b w:val="0"/>
          <w:bCs w:val="0"/>
          <w:kern w:val="2"/>
          <w:sz w:val="24"/>
          <w:szCs w:val="24"/>
        </w:rPr>
        <w:t>年龄</w:t>
      </w:r>
      <w:bookmarkEnd w:id="64"/>
      <w:r>
        <w:rPr>
          <w:rFonts w:ascii="宋体" w:hAnsi="宋体" w:eastAsia="宋体" w:cstheme="minorBidi"/>
          <w:b w:val="0"/>
          <w:bCs w:val="0"/>
          <w:kern w:val="2"/>
          <w:sz w:val="24"/>
          <w:szCs w:val="24"/>
        </w:rPr>
        <w:t>情况分析</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专业课校内授课教师</w:t>
      </w:r>
      <w:r>
        <w:rPr>
          <w:rFonts w:hint="eastAsia" w:ascii="仿宋" w:hAnsi="仿宋" w:eastAsia="仿宋" w:cstheme="minorBidi"/>
          <w:kern w:val="2"/>
        </w:rPr>
        <w:t>共103人，其中</w:t>
      </w:r>
      <w:r>
        <w:rPr>
          <w:rFonts w:ascii="仿宋" w:hAnsi="仿宋" w:eastAsia="仿宋" w:cstheme="minorBidi"/>
          <w:kern w:val="2"/>
        </w:rPr>
        <w:t>年龄</w:t>
      </w:r>
      <w:r>
        <w:rPr>
          <w:rFonts w:hint="eastAsia" w:ascii="仿宋" w:hAnsi="仿宋" w:eastAsia="仿宋" w:cstheme="minorBidi"/>
          <w:kern w:val="2"/>
        </w:rPr>
        <w:t>为35岁及以下的为16人，36-45岁的为56人，46-55岁的为29人，56岁及以上的2人。核心课授课教师共51人，其中35岁及以下的为6人，36-45岁的为22人，46-55岁的为12人，56岁及以上的1人。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843"/>
        <w:gridCol w:w="1559"/>
        <w:gridCol w:w="1701"/>
        <w:gridCol w:w="1386"/>
      </w:tblGrid>
      <w:tr>
        <w:tc>
          <w:tcPr>
            <w:tcW w:w="1809"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843"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559"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701"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38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1809"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35 </w:t>
            </w:r>
            <w:r>
              <w:rPr>
                <w:rFonts w:hint="eastAsia"/>
                <w:sz w:val="21"/>
                <w:szCs w:val="22"/>
              </w:rPr>
              <w:t>岁及以下</w:t>
            </w:r>
          </w:p>
        </w:tc>
        <w:tc>
          <w:tcPr>
            <w:tcW w:w="1843" w:type="dxa"/>
            <w:vAlign w:val="center"/>
          </w:tcPr>
          <w:p>
            <w:pPr>
              <w:jc w:val="center"/>
              <w:rPr>
                <w:sz w:val="21"/>
                <w:szCs w:val="21"/>
              </w:rPr>
            </w:pPr>
            <w:r>
              <w:rPr>
                <w:sz w:val="21"/>
                <w:szCs w:val="21"/>
              </w:rPr>
              <w:t>16</w:t>
            </w:r>
          </w:p>
        </w:tc>
        <w:tc>
          <w:tcPr>
            <w:tcW w:w="1559" w:type="dxa"/>
            <w:vAlign w:val="center"/>
          </w:tcPr>
          <w:p>
            <w:pPr>
              <w:jc w:val="center"/>
              <w:rPr>
                <w:sz w:val="21"/>
                <w:szCs w:val="21"/>
              </w:rPr>
            </w:pPr>
            <w:r>
              <w:rPr>
                <w:sz w:val="21"/>
                <w:szCs w:val="21"/>
              </w:rPr>
              <w:t>15.53</w:t>
            </w:r>
          </w:p>
        </w:tc>
        <w:tc>
          <w:tcPr>
            <w:tcW w:w="1701" w:type="dxa"/>
            <w:vAlign w:val="center"/>
          </w:tcPr>
          <w:p>
            <w:pPr>
              <w:jc w:val="center"/>
              <w:rPr>
                <w:sz w:val="21"/>
                <w:szCs w:val="21"/>
              </w:rPr>
            </w:pPr>
            <w:r>
              <w:rPr>
                <w:sz w:val="21"/>
                <w:szCs w:val="21"/>
              </w:rPr>
              <w:t>6</w:t>
            </w:r>
          </w:p>
        </w:tc>
        <w:tc>
          <w:tcPr>
            <w:tcW w:w="1386" w:type="dxa"/>
            <w:vAlign w:val="center"/>
          </w:tcPr>
          <w:p>
            <w:pPr>
              <w:jc w:val="center"/>
              <w:rPr>
                <w:sz w:val="21"/>
                <w:szCs w:val="21"/>
              </w:rPr>
            </w:pPr>
            <w:r>
              <w:rPr>
                <w:sz w:val="21"/>
                <w:szCs w:val="21"/>
              </w:rPr>
              <w:t>14.63</w:t>
            </w:r>
          </w:p>
        </w:tc>
      </w:tr>
      <w:tr>
        <w:tc>
          <w:tcPr>
            <w:tcW w:w="1809"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36-45 </w:t>
            </w:r>
            <w:r>
              <w:rPr>
                <w:rFonts w:hint="eastAsia"/>
                <w:sz w:val="21"/>
                <w:szCs w:val="22"/>
              </w:rPr>
              <w:t>岁</w:t>
            </w:r>
          </w:p>
        </w:tc>
        <w:tc>
          <w:tcPr>
            <w:tcW w:w="1843" w:type="dxa"/>
            <w:vAlign w:val="center"/>
          </w:tcPr>
          <w:p>
            <w:pPr>
              <w:jc w:val="center"/>
              <w:rPr>
                <w:sz w:val="21"/>
                <w:szCs w:val="21"/>
              </w:rPr>
            </w:pPr>
            <w:r>
              <w:rPr>
                <w:sz w:val="21"/>
                <w:szCs w:val="21"/>
              </w:rPr>
              <w:t>56</w:t>
            </w:r>
          </w:p>
        </w:tc>
        <w:tc>
          <w:tcPr>
            <w:tcW w:w="1559" w:type="dxa"/>
            <w:vAlign w:val="center"/>
          </w:tcPr>
          <w:p>
            <w:pPr>
              <w:jc w:val="center"/>
              <w:rPr>
                <w:sz w:val="21"/>
                <w:szCs w:val="21"/>
              </w:rPr>
            </w:pPr>
            <w:r>
              <w:rPr>
                <w:sz w:val="21"/>
                <w:szCs w:val="21"/>
              </w:rPr>
              <w:t>54.37</w:t>
            </w:r>
          </w:p>
        </w:tc>
        <w:tc>
          <w:tcPr>
            <w:tcW w:w="1701" w:type="dxa"/>
            <w:vAlign w:val="center"/>
          </w:tcPr>
          <w:p>
            <w:pPr>
              <w:jc w:val="center"/>
              <w:rPr>
                <w:sz w:val="21"/>
                <w:szCs w:val="21"/>
              </w:rPr>
            </w:pPr>
            <w:r>
              <w:rPr>
                <w:sz w:val="21"/>
                <w:szCs w:val="21"/>
              </w:rPr>
              <w:t>22</w:t>
            </w:r>
          </w:p>
        </w:tc>
        <w:tc>
          <w:tcPr>
            <w:tcW w:w="1386" w:type="dxa"/>
            <w:vAlign w:val="center"/>
          </w:tcPr>
          <w:p>
            <w:pPr>
              <w:jc w:val="center"/>
              <w:rPr>
                <w:sz w:val="21"/>
                <w:szCs w:val="21"/>
              </w:rPr>
            </w:pPr>
            <w:r>
              <w:rPr>
                <w:sz w:val="21"/>
                <w:szCs w:val="21"/>
              </w:rPr>
              <w:t>53.66</w:t>
            </w:r>
          </w:p>
        </w:tc>
      </w:tr>
      <w:tr>
        <w:tc>
          <w:tcPr>
            <w:tcW w:w="1809"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46-55 </w:t>
            </w:r>
            <w:r>
              <w:rPr>
                <w:rFonts w:hint="eastAsia"/>
                <w:sz w:val="21"/>
                <w:szCs w:val="22"/>
              </w:rPr>
              <w:t>岁</w:t>
            </w:r>
          </w:p>
        </w:tc>
        <w:tc>
          <w:tcPr>
            <w:tcW w:w="1843" w:type="dxa"/>
            <w:vAlign w:val="center"/>
          </w:tcPr>
          <w:p>
            <w:pPr>
              <w:jc w:val="center"/>
              <w:rPr>
                <w:sz w:val="21"/>
                <w:szCs w:val="21"/>
              </w:rPr>
            </w:pPr>
            <w:r>
              <w:rPr>
                <w:sz w:val="21"/>
                <w:szCs w:val="21"/>
              </w:rPr>
              <w:t>29</w:t>
            </w:r>
          </w:p>
        </w:tc>
        <w:tc>
          <w:tcPr>
            <w:tcW w:w="1559" w:type="dxa"/>
            <w:vAlign w:val="center"/>
          </w:tcPr>
          <w:p>
            <w:pPr>
              <w:jc w:val="center"/>
              <w:rPr>
                <w:sz w:val="21"/>
                <w:szCs w:val="21"/>
              </w:rPr>
            </w:pPr>
            <w:r>
              <w:rPr>
                <w:sz w:val="21"/>
                <w:szCs w:val="21"/>
              </w:rPr>
              <w:t>28.16</w:t>
            </w:r>
          </w:p>
        </w:tc>
        <w:tc>
          <w:tcPr>
            <w:tcW w:w="1701" w:type="dxa"/>
            <w:vAlign w:val="center"/>
          </w:tcPr>
          <w:p>
            <w:pPr>
              <w:jc w:val="center"/>
              <w:rPr>
                <w:sz w:val="21"/>
                <w:szCs w:val="21"/>
              </w:rPr>
            </w:pPr>
            <w:r>
              <w:rPr>
                <w:sz w:val="21"/>
                <w:szCs w:val="21"/>
              </w:rPr>
              <w:t>12</w:t>
            </w:r>
          </w:p>
        </w:tc>
        <w:tc>
          <w:tcPr>
            <w:tcW w:w="1386" w:type="dxa"/>
            <w:vAlign w:val="center"/>
          </w:tcPr>
          <w:p>
            <w:pPr>
              <w:jc w:val="center"/>
              <w:rPr>
                <w:sz w:val="21"/>
                <w:szCs w:val="21"/>
              </w:rPr>
            </w:pPr>
            <w:r>
              <w:rPr>
                <w:sz w:val="21"/>
                <w:szCs w:val="21"/>
              </w:rPr>
              <w:t>29.27</w:t>
            </w:r>
          </w:p>
        </w:tc>
      </w:tr>
      <w:tr>
        <w:tc>
          <w:tcPr>
            <w:tcW w:w="1809" w:type="dxa"/>
            <w:vAlign w:val="center"/>
          </w:tcPr>
          <w:p>
            <w:pPr>
              <w:jc w:val="center"/>
              <w:rPr>
                <w:sz w:val="21"/>
                <w:szCs w:val="21"/>
              </w:rPr>
            </w:pPr>
            <w:r>
              <w:rPr>
                <w:rFonts w:ascii="Times New Roman" w:hAnsi="Noto Sans Mono CJK JP Regular" w:eastAsia="Times New Roman" w:cs="Noto Sans Mono CJK JP Regular"/>
                <w:b/>
                <w:sz w:val="21"/>
                <w:szCs w:val="22"/>
              </w:rPr>
              <w:t xml:space="preserve">56 </w:t>
            </w:r>
            <w:r>
              <w:rPr>
                <w:rFonts w:hint="eastAsia"/>
                <w:sz w:val="21"/>
                <w:szCs w:val="22"/>
              </w:rPr>
              <w:t>岁及以上</w:t>
            </w:r>
          </w:p>
        </w:tc>
        <w:tc>
          <w:tcPr>
            <w:tcW w:w="1843" w:type="dxa"/>
            <w:vAlign w:val="center"/>
          </w:tcPr>
          <w:p>
            <w:pPr>
              <w:jc w:val="center"/>
              <w:rPr>
                <w:sz w:val="21"/>
                <w:szCs w:val="21"/>
              </w:rPr>
            </w:pPr>
            <w:r>
              <w:rPr>
                <w:sz w:val="21"/>
                <w:szCs w:val="21"/>
              </w:rPr>
              <w:t>2</w:t>
            </w:r>
          </w:p>
        </w:tc>
        <w:tc>
          <w:tcPr>
            <w:tcW w:w="1559" w:type="dxa"/>
            <w:vAlign w:val="center"/>
          </w:tcPr>
          <w:p>
            <w:pPr>
              <w:jc w:val="center"/>
              <w:rPr>
                <w:sz w:val="21"/>
                <w:szCs w:val="21"/>
              </w:rPr>
            </w:pPr>
            <w:r>
              <w:rPr>
                <w:sz w:val="21"/>
                <w:szCs w:val="21"/>
              </w:rPr>
              <w:t>1.94</w:t>
            </w:r>
          </w:p>
        </w:tc>
        <w:tc>
          <w:tcPr>
            <w:tcW w:w="1701" w:type="dxa"/>
            <w:vAlign w:val="center"/>
          </w:tcPr>
          <w:p>
            <w:pPr>
              <w:jc w:val="center"/>
              <w:rPr>
                <w:sz w:val="21"/>
                <w:szCs w:val="21"/>
              </w:rPr>
            </w:pPr>
            <w:r>
              <w:rPr>
                <w:sz w:val="21"/>
                <w:szCs w:val="21"/>
              </w:rPr>
              <w:t>1</w:t>
            </w:r>
          </w:p>
        </w:tc>
        <w:tc>
          <w:tcPr>
            <w:tcW w:w="1386" w:type="dxa"/>
            <w:vAlign w:val="center"/>
          </w:tcPr>
          <w:p>
            <w:pPr>
              <w:jc w:val="center"/>
              <w:rPr>
                <w:sz w:val="21"/>
                <w:szCs w:val="21"/>
              </w:rPr>
            </w:pPr>
            <w:r>
              <w:rPr>
                <w:sz w:val="21"/>
                <w:szCs w:val="21"/>
              </w:rPr>
              <w:t>2.44</w:t>
            </w:r>
            <w:bookmarkStart w:id="65" w:name="OLE_LINK40"/>
            <w:bookmarkEnd w:id="65"/>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4.2.4专业课校内授课教师来源情况分析</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专业课校内授课教师</w:t>
      </w:r>
      <w:r>
        <w:rPr>
          <w:rFonts w:hint="eastAsia" w:ascii="仿宋" w:hAnsi="仿宋" w:eastAsia="仿宋" w:cstheme="minorBidi"/>
          <w:kern w:val="2"/>
        </w:rPr>
        <w:t>本专业的为8人，本学院外专业56人，校内其他单位为39人。</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842"/>
        <w:gridCol w:w="1276"/>
        <w:gridCol w:w="1985"/>
        <w:gridCol w:w="1527"/>
      </w:tblGrid>
      <w:tr>
        <w:tc>
          <w:tcPr>
            <w:tcW w:w="1668" w:type="dxa"/>
            <w:tcBorders>
              <w:top w:val="single" w:color="000000" w:sz="2" w:space="0"/>
              <w:left w:val="single" w:color="000000" w:sz="4" w:space="0"/>
              <w:bottom w:val="single" w:color="000000" w:sz="2" w:space="0"/>
              <w:right w:val="single" w:color="000000" w:sz="2" w:space="0"/>
            </w:tcBorders>
            <w:vAlign w:val="center"/>
          </w:tcPr>
          <w:p>
            <w:pPr>
              <w:jc w:val="center"/>
              <w:rPr>
                <w:sz w:val="21"/>
                <w:szCs w:val="21"/>
              </w:rPr>
            </w:pPr>
            <w:r>
              <w:rPr>
                <w:rFonts w:hint="eastAsia"/>
                <w:sz w:val="21"/>
                <w:szCs w:val="21"/>
              </w:rPr>
              <w:t>项目</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专业课授课教师</w:t>
            </w:r>
          </w:p>
        </w:tc>
        <w:tc>
          <w:tcPr>
            <w:tcW w:w="1276"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c>
          <w:tcPr>
            <w:tcW w:w="1985"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核心课授课教师</w:t>
            </w:r>
          </w:p>
        </w:tc>
        <w:tc>
          <w:tcPr>
            <w:tcW w:w="1527" w:type="dxa"/>
            <w:tcBorders>
              <w:top w:val="single" w:color="000000" w:sz="2" w:space="0"/>
              <w:left w:val="single" w:color="000000" w:sz="2" w:space="0"/>
              <w:bottom w:val="single" w:color="000000" w:sz="2" w:space="0"/>
              <w:right w:val="single" w:color="000000" w:sz="2" w:space="0"/>
            </w:tcBorders>
            <w:vAlign w:val="center"/>
          </w:tcPr>
          <w:p>
            <w:pPr>
              <w:jc w:val="center"/>
              <w:rPr>
                <w:sz w:val="21"/>
                <w:szCs w:val="21"/>
              </w:rPr>
            </w:pPr>
            <w:r>
              <w:rPr>
                <w:rFonts w:hint="eastAsia"/>
                <w:sz w:val="21"/>
                <w:szCs w:val="21"/>
              </w:rPr>
              <w:t>比例(</w:t>
            </w:r>
            <w:r>
              <w:rPr>
                <w:sz w:val="21"/>
                <w:szCs w:val="21"/>
              </w:rPr>
              <w:t>%</w:t>
            </w:r>
            <w:r>
              <w:rPr>
                <w:rFonts w:hint="eastAsia"/>
                <w:sz w:val="21"/>
                <w:szCs w:val="21"/>
              </w:rPr>
              <w:t>)</w:t>
            </w:r>
          </w:p>
        </w:tc>
      </w:tr>
      <w:tr>
        <w:tc>
          <w:tcPr>
            <w:tcW w:w="1668" w:type="dxa"/>
            <w:vAlign w:val="center"/>
          </w:tcPr>
          <w:p>
            <w:pPr>
              <w:jc w:val="center"/>
              <w:rPr>
                <w:sz w:val="21"/>
                <w:szCs w:val="21"/>
              </w:rPr>
            </w:pPr>
            <w:r>
              <w:rPr>
                <w:rFonts w:hint="eastAsia"/>
                <w:sz w:val="21"/>
                <w:szCs w:val="22"/>
              </w:rPr>
              <w:t>本专业</w:t>
            </w:r>
          </w:p>
        </w:tc>
        <w:tc>
          <w:tcPr>
            <w:tcW w:w="1842" w:type="dxa"/>
            <w:vAlign w:val="center"/>
          </w:tcPr>
          <w:p>
            <w:pPr>
              <w:jc w:val="center"/>
              <w:rPr>
                <w:sz w:val="21"/>
                <w:szCs w:val="21"/>
              </w:rPr>
            </w:pPr>
            <w:r>
              <w:rPr>
                <w:sz w:val="21"/>
                <w:szCs w:val="21"/>
              </w:rPr>
              <w:t>8</w:t>
            </w:r>
          </w:p>
        </w:tc>
        <w:tc>
          <w:tcPr>
            <w:tcW w:w="1276" w:type="dxa"/>
            <w:vAlign w:val="center"/>
          </w:tcPr>
          <w:p>
            <w:pPr>
              <w:jc w:val="center"/>
              <w:rPr>
                <w:sz w:val="21"/>
                <w:szCs w:val="21"/>
              </w:rPr>
            </w:pPr>
            <w:r>
              <w:rPr>
                <w:sz w:val="21"/>
                <w:szCs w:val="21"/>
              </w:rPr>
              <w:t>7.77</w:t>
            </w:r>
          </w:p>
        </w:tc>
        <w:tc>
          <w:tcPr>
            <w:tcW w:w="1985" w:type="dxa"/>
            <w:vAlign w:val="center"/>
          </w:tcPr>
          <w:p>
            <w:pPr>
              <w:jc w:val="center"/>
              <w:rPr>
                <w:sz w:val="21"/>
                <w:szCs w:val="21"/>
              </w:rPr>
            </w:pPr>
            <w:r>
              <w:rPr>
                <w:sz w:val="21"/>
                <w:szCs w:val="21"/>
              </w:rPr>
              <w:t>5</w:t>
            </w:r>
            <w:bookmarkStart w:id="66" w:name="OLE_LINK41"/>
            <w:bookmarkEnd w:id="66"/>
          </w:p>
        </w:tc>
        <w:tc>
          <w:tcPr>
            <w:tcW w:w="1527" w:type="dxa"/>
            <w:vAlign w:val="center"/>
          </w:tcPr>
          <w:p>
            <w:pPr>
              <w:jc w:val="center"/>
              <w:rPr>
                <w:sz w:val="21"/>
                <w:szCs w:val="21"/>
              </w:rPr>
            </w:pPr>
            <w:r>
              <w:rPr>
                <w:sz w:val="21"/>
                <w:szCs w:val="21"/>
              </w:rPr>
              <w:t>12.2</w:t>
            </w:r>
          </w:p>
        </w:tc>
      </w:tr>
      <w:tr>
        <w:tc>
          <w:tcPr>
            <w:tcW w:w="1668" w:type="dxa"/>
            <w:vAlign w:val="center"/>
          </w:tcPr>
          <w:p>
            <w:pPr>
              <w:jc w:val="center"/>
              <w:rPr>
                <w:sz w:val="21"/>
                <w:szCs w:val="21"/>
              </w:rPr>
            </w:pPr>
            <w:r>
              <w:rPr>
                <w:rFonts w:hint="eastAsia"/>
                <w:sz w:val="21"/>
                <w:szCs w:val="22"/>
              </w:rPr>
              <w:t>本学院外专业</w:t>
            </w:r>
          </w:p>
        </w:tc>
        <w:tc>
          <w:tcPr>
            <w:tcW w:w="1842" w:type="dxa"/>
            <w:vAlign w:val="center"/>
          </w:tcPr>
          <w:p>
            <w:pPr>
              <w:jc w:val="center"/>
              <w:rPr>
                <w:sz w:val="21"/>
                <w:szCs w:val="21"/>
              </w:rPr>
            </w:pPr>
            <w:r>
              <w:rPr>
                <w:sz w:val="21"/>
                <w:szCs w:val="21"/>
              </w:rPr>
              <w:t>56</w:t>
            </w:r>
          </w:p>
        </w:tc>
        <w:tc>
          <w:tcPr>
            <w:tcW w:w="1276" w:type="dxa"/>
            <w:vAlign w:val="center"/>
          </w:tcPr>
          <w:p>
            <w:pPr>
              <w:jc w:val="center"/>
              <w:rPr>
                <w:sz w:val="21"/>
                <w:szCs w:val="21"/>
              </w:rPr>
            </w:pPr>
            <w:r>
              <w:rPr>
                <w:sz w:val="21"/>
                <w:szCs w:val="21"/>
              </w:rPr>
              <w:t>54.37</w:t>
            </w:r>
          </w:p>
        </w:tc>
        <w:tc>
          <w:tcPr>
            <w:tcW w:w="1985" w:type="dxa"/>
            <w:vAlign w:val="center"/>
          </w:tcPr>
          <w:p>
            <w:pPr>
              <w:jc w:val="center"/>
              <w:rPr>
                <w:sz w:val="21"/>
                <w:szCs w:val="21"/>
              </w:rPr>
            </w:pPr>
            <w:r>
              <w:rPr>
                <w:sz w:val="21"/>
                <w:szCs w:val="21"/>
              </w:rPr>
              <w:t>30</w:t>
            </w:r>
          </w:p>
        </w:tc>
        <w:tc>
          <w:tcPr>
            <w:tcW w:w="1527" w:type="dxa"/>
            <w:vAlign w:val="center"/>
          </w:tcPr>
          <w:p>
            <w:pPr>
              <w:jc w:val="center"/>
              <w:rPr>
                <w:sz w:val="21"/>
                <w:szCs w:val="21"/>
              </w:rPr>
            </w:pPr>
            <w:r>
              <w:rPr>
                <w:sz w:val="21"/>
                <w:szCs w:val="21"/>
              </w:rPr>
              <w:t>73.17</w:t>
            </w:r>
          </w:p>
        </w:tc>
      </w:tr>
      <w:tr>
        <w:tc>
          <w:tcPr>
            <w:tcW w:w="1668" w:type="dxa"/>
            <w:vAlign w:val="center"/>
          </w:tcPr>
          <w:p>
            <w:pPr>
              <w:jc w:val="center"/>
              <w:rPr>
                <w:sz w:val="21"/>
                <w:szCs w:val="21"/>
              </w:rPr>
            </w:pPr>
            <w:r>
              <w:rPr>
                <w:rFonts w:hint="eastAsia"/>
                <w:sz w:val="21"/>
                <w:szCs w:val="22"/>
              </w:rPr>
              <w:t>校内其他单位</w:t>
            </w:r>
          </w:p>
        </w:tc>
        <w:tc>
          <w:tcPr>
            <w:tcW w:w="1842" w:type="dxa"/>
            <w:vAlign w:val="center"/>
          </w:tcPr>
          <w:p>
            <w:pPr>
              <w:jc w:val="center"/>
              <w:rPr>
                <w:sz w:val="21"/>
                <w:szCs w:val="21"/>
              </w:rPr>
            </w:pPr>
            <w:r>
              <w:rPr>
                <w:sz w:val="21"/>
                <w:szCs w:val="21"/>
              </w:rPr>
              <w:t>39</w:t>
            </w:r>
          </w:p>
        </w:tc>
        <w:tc>
          <w:tcPr>
            <w:tcW w:w="1276" w:type="dxa"/>
            <w:vAlign w:val="center"/>
          </w:tcPr>
          <w:p>
            <w:pPr>
              <w:jc w:val="center"/>
              <w:rPr>
                <w:sz w:val="21"/>
                <w:szCs w:val="21"/>
              </w:rPr>
            </w:pPr>
            <w:r>
              <w:rPr>
                <w:sz w:val="21"/>
                <w:szCs w:val="21"/>
              </w:rPr>
              <w:t>37.86</w:t>
            </w:r>
          </w:p>
        </w:tc>
        <w:tc>
          <w:tcPr>
            <w:tcW w:w="1985" w:type="dxa"/>
            <w:vAlign w:val="center"/>
          </w:tcPr>
          <w:p>
            <w:pPr>
              <w:jc w:val="center"/>
              <w:rPr>
                <w:sz w:val="21"/>
                <w:szCs w:val="21"/>
              </w:rPr>
            </w:pPr>
            <w:r>
              <w:rPr>
                <w:sz w:val="21"/>
                <w:szCs w:val="21"/>
              </w:rPr>
              <w:t>6</w:t>
            </w:r>
          </w:p>
        </w:tc>
        <w:tc>
          <w:tcPr>
            <w:tcW w:w="1527" w:type="dxa"/>
            <w:vAlign w:val="center"/>
          </w:tcPr>
          <w:p>
            <w:pPr>
              <w:jc w:val="center"/>
              <w:rPr>
                <w:sz w:val="21"/>
                <w:szCs w:val="21"/>
              </w:rPr>
            </w:pPr>
            <w:r>
              <w:rPr>
                <w:sz w:val="21"/>
                <w:szCs w:val="21"/>
              </w:rPr>
              <w:t>14.63</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4.2.5专业课外聘授课教师情况分析</w:t>
      </w:r>
    </w:p>
    <w:p>
      <w:pPr>
        <w:widowControl w:val="0"/>
        <w:spacing w:line="360" w:lineRule="auto"/>
        <w:ind w:firstLine="400" w:firstLineChars="200"/>
        <w:rPr>
          <w:color w:val="000000"/>
          <w:sz w:val="20"/>
          <w:szCs w:val="20"/>
        </w:rPr>
      </w:pPr>
      <w:r>
        <w:rPr>
          <w:color w:val="000000"/>
          <w:sz w:val="20"/>
          <w:szCs w:val="20"/>
        </w:rPr>
        <w:t>专业课外聘授课教师</w:t>
      </w:r>
      <w:r>
        <w:rPr>
          <w:rFonts w:hint="eastAsia"/>
          <w:color w:val="000000"/>
          <w:sz w:val="20"/>
          <w:szCs w:val="20"/>
        </w:rPr>
        <w:t>为11名，其中其他正高级职称有1人，</w:t>
      </w:r>
      <w:r>
        <w:rPr>
          <w:rFonts w:hint="eastAsia"/>
          <w:sz w:val="21"/>
          <w:szCs w:val="22"/>
        </w:rPr>
        <w:t>占总人数的</w:t>
      </w:r>
      <w:r>
        <w:rPr>
          <w:rFonts w:hint="eastAsia"/>
          <w:color w:val="000000"/>
          <w:sz w:val="20"/>
          <w:szCs w:val="20"/>
        </w:rPr>
        <w:t>9%；其他中级2人，</w:t>
      </w:r>
      <w:r>
        <w:rPr>
          <w:rFonts w:hint="eastAsia"/>
          <w:sz w:val="21"/>
          <w:szCs w:val="22"/>
        </w:rPr>
        <w:t>占总人数的</w:t>
      </w:r>
      <w:r>
        <w:rPr>
          <w:rFonts w:hint="eastAsia"/>
          <w:color w:val="000000"/>
          <w:sz w:val="20"/>
          <w:szCs w:val="20"/>
        </w:rPr>
        <w:t>18.2%；未评及的有8人，</w:t>
      </w:r>
      <w:r>
        <w:rPr>
          <w:rFonts w:hint="eastAsia"/>
          <w:sz w:val="21"/>
          <w:szCs w:val="22"/>
        </w:rPr>
        <w:t>占总人数的</w:t>
      </w:r>
      <w:r>
        <w:rPr>
          <w:rFonts w:hint="eastAsia"/>
          <w:color w:val="000000"/>
          <w:sz w:val="20"/>
          <w:szCs w:val="20"/>
        </w:rPr>
        <w:t>72.7%；获得</w:t>
      </w:r>
      <w:r>
        <w:rPr>
          <w:rFonts w:hint="eastAsia"/>
          <w:sz w:val="21"/>
          <w:szCs w:val="22"/>
        </w:rPr>
        <w:t>硕士学位的有6人，占总人数的54.5%；</w:t>
      </w:r>
      <w:r>
        <w:rPr>
          <w:rFonts w:hint="eastAsia"/>
          <w:color w:val="000000"/>
          <w:sz w:val="20"/>
          <w:szCs w:val="20"/>
        </w:rPr>
        <w:t>获得</w:t>
      </w:r>
      <w:r>
        <w:rPr>
          <w:rFonts w:hint="eastAsia"/>
          <w:sz w:val="21"/>
          <w:szCs w:val="22"/>
        </w:rPr>
        <w:t>学士学位的有5人，占总人数的45.5%。</w:t>
      </w:r>
      <w:r>
        <w:rPr>
          <w:rFonts w:hint="eastAsia"/>
          <w:color w:val="000000"/>
          <w:sz w:val="20"/>
          <w:szCs w:val="20"/>
        </w:rPr>
        <w:t>外聘授课教师工作单位有上海市养老服务行业协会、上海长三角区域养老服务促进中心、上海市长宁区仙霞新村街道、国药康养实业 (上海) 有限公司、上海人寿堂养老服务（集团）有限公司、中国人寿保险有限公司、泰康之家申园（上海）养老服务有限公司等。</w:t>
      </w:r>
    </w:p>
    <w:tbl>
      <w:tblPr>
        <w:tblStyle w:val="18"/>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2750"/>
        <w:gridCol w:w="2106"/>
        <w:gridCol w:w="2212"/>
      </w:tblGrid>
      <w:tr>
        <w:trPr>
          <w:cantSplit/>
        </w:trPr>
        <w:tc>
          <w:tcPr>
            <w:tcW w:w="4015" w:type="dxa"/>
            <w:gridSpan w:val="2"/>
            <w:vAlign w:val="center"/>
          </w:tcPr>
          <w:p>
            <w:pPr>
              <w:jc w:val="center"/>
              <w:rPr>
                <w:sz w:val="21"/>
                <w:szCs w:val="21"/>
              </w:rPr>
            </w:pPr>
            <w:r>
              <w:rPr>
                <w:rFonts w:hint="eastAsia"/>
                <w:sz w:val="21"/>
                <w:szCs w:val="21"/>
              </w:rPr>
              <w:t>项目</w:t>
            </w:r>
          </w:p>
        </w:tc>
        <w:tc>
          <w:tcPr>
            <w:tcW w:w="2106" w:type="dxa"/>
            <w:vAlign w:val="center"/>
          </w:tcPr>
          <w:p>
            <w:pPr>
              <w:jc w:val="center"/>
              <w:rPr>
                <w:sz w:val="21"/>
                <w:szCs w:val="21"/>
              </w:rPr>
            </w:pPr>
            <w:r>
              <w:rPr>
                <w:rFonts w:hint="eastAsia"/>
                <w:sz w:val="21"/>
                <w:szCs w:val="21"/>
              </w:rPr>
              <w:t>数量</w:t>
            </w:r>
          </w:p>
        </w:tc>
        <w:tc>
          <w:tcPr>
            <w:tcW w:w="2212" w:type="dxa"/>
            <w:vAlign w:val="center"/>
          </w:tcPr>
          <w:p>
            <w:pPr>
              <w:jc w:val="center"/>
              <w:rPr>
                <w:sz w:val="21"/>
                <w:szCs w:val="21"/>
              </w:rPr>
            </w:pPr>
            <w:r>
              <w:rPr>
                <w:rFonts w:hint="eastAsia"/>
                <w:sz w:val="21"/>
                <w:szCs w:val="21"/>
              </w:rPr>
              <w:t>占比</w:t>
            </w:r>
          </w:p>
        </w:tc>
      </w:tr>
      <w:tr>
        <w:trPr>
          <w:cantSplit/>
        </w:trPr>
        <w:tc>
          <w:tcPr>
            <w:tcW w:w="4015" w:type="dxa"/>
            <w:gridSpan w:val="2"/>
            <w:vAlign w:val="center"/>
          </w:tcPr>
          <w:p>
            <w:pPr>
              <w:jc w:val="center"/>
              <w:rPr>
                <w:sz w:val="21"/>
                <w:szCs w:val="21"/>
              </w:rPr>
            </w:pPr>
            <w:r>
              <w:rPr>
                <w:rFonts w:hint="eastAsia"/>
                <w:sz w:val="21"/>
                <w:szCs w:val="21"/>
              </w:rPr>
              <w:t>总数</w:t>
            </w:r>
          </w:p>
        </w:tc>
        <w:tc>
          <w:tcPr>
            <w:tcW w:w="2106" w:type="dxa"/>
            <w:vAlign w:val="center"/>
          </w:tcPr>
          <w:p>
            <w:pPr>
              <w:jc w:val="center"/>
              <w:rPr>
                <w:sz w:val="21"/>
                <w:szCs w:val="21"/>
              </w:rPr>
            </w:pPr>
            <w:r>
              <w:rPr>
                <w:rFonts w:hint="eastAsia"/>
                <w:sz w:val="21"/>
                <w:szCs w:val="21"/>
              </w:rPr>
              <w:t>11</w:t>
            </w:r>
          </w:p>
        </w:tc>
        <w:tc>
          <w:tcPr>
            <w:tcW w:w="2212" w:type="dxa"/>
            <w:vAlign w:val="center"/>
          </w:tcPr>
          <w:p>
            <w:pPr>
              <w:jc w:val="center"/>
              <w:rPr>
                <w:sz w:val="21"/>
                <w:szCs w:val="21"/>
              </w:rPr>
            </w:pPr>
            <w:r>
              <w:rPr>
                <w:rFonts w:hint="eastAsia"/>
                <w:sz w:val="21"/>
                <w:szCs w:val="21"/>
              </w:rPr>
              <w:t>/</w:t>
            </w:r>
          </w:p>
        </w:tc>
      </w:tr>
      <w:tr>
        <w:trPr>
          <w:cantSplit/>
        </w:trPr>
        <w:tc>
          <w:tcPr>
            <w:tcW w:w="1265" w:type="dxa"/>
            <w:vMerge w:val="restart"/>
            <w:vAlign w:val="center"/>
          </w:tcPr>
          <w:p>
            <w:pPr>
              <w:jc w:val="center"/>
              <w:rPr>
                <w:sz w:val="21"/>
                <w:szCs w:val="21"/>
              </w:rPr>
            </w:pPr>
            <w:bookmarkStart w:id="67" w:name="OLE_LINK42"/>
            <w:r>
              <w:rPr>
                <w:rFonts w:hint="eastAsia"/>
                <w:sz w:val="21"/>
                <w:szCs w:val="21"/>
              </w:rPr>
              <w:t>职称</w:t>
            </w:r>
            <w:bookmarkEnd w:id="67"/>
          </w:p>
        </w:tc>
        <w:tc>
          <w:tcPr>
            <w:tcW w:w="2750" w:type="dxa"/>
            <w:vAlign w:val="center"/>
          </w:tcPr>
          <w:p>
            <w:pPr>
              <w:jc w:val="center"/>
              <w:rPr>
                <w:sz w:val="21"/>
                <w:szCs w:val="21"/>
              </w:rPr>
            </w:pPr>
            <w:r>
              <w:rPr>
                <w:rFonts w:hint="eastAsia"/>
                <w:sz w:val="21"/>
                <w:szCs w:val="21"/>
              </w:rPr>
              <w:t>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副教授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8" w:name="OLE_LINK43"/>
            <w:bookmarkEnd w:id="68"/>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讲师</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bookmarkStart w:id="69" w:name="OLE_LINK44"/>
            <w:bookmarkEnd w:id="69"/>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助教</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其他正高级</w:t>
            </w:r>
          </w:p>
        </w:tc>
        <w:tc>
          <w:tcPr>
            <w:tcW w:w="2106" w:type="dxa"/>
            <w:vAlign w:val="center"/>
          </w:tcPr>
          <w:p>
            <w:pPr>
              <w:jc w:val="center"/>
              <w:rPr>
                <w:sz w:val="21"/>
                <w:szCs w:val="21"/>
              </w:rPr>
            </w:pPr>
            <w:r>
              <w:rPr>
                <w:rFonts w:hint="eastAsia"/>
                <w:sz w:val="21"/>
                <w:szCs w:val="21"/>
              </w:rPr>
              <w:t>1</w:t>
            </w:r>
          </w:p>
        </w:tc>
        <w:tc>
          <w:tcPr>
            <w:tcW w:w="2212" w:type="dxa"/>
            <w:vAlign w:val="center"/>
          </w:tcPr>
          <w:p>
            <w:pPr>
              <w:jc w:val="center"/>
              <w:rPr>
                <w:sz w:val="21"/>
                <w:szCs w:val="21"/>
              </w:rPr>
            </w:pPr>
            <w:r>
              <w:rPr>
                <w:rFonts w:hint="eastAsia"/>
                <w:sz w:val="21"/>
                <w:szCs w:val="21"/>
              </w:rPr>
              <w:t>9.1%</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其他副高级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其他中级</w:t>
            </w:r>
          </w:p>
        </w:tc>
        <w:tc>
          <w:tcPr>
            <w:tcW w:w="2106" w:type="dxa"/>
            <w:vAlign w:val="center"/>
          </w:tcPr>
          <w:p>
            <w:pPr>
              <w:jc w:val="center"/>
              <w:rPr>
                <w:sz w:val="21"/>
                <w:szCs w:val="21"/>
              </w:rPr>
            </w:pPr>
            <w:r>
              <w:rPr>
                <w:rFonts w:hint="eastAsia"/>
                <w:sz w:val="21"/>
                <w:szCs w:val="21"/>
              </w:rPr>
              <w:t>2</w:t>
            </w:r>
          </w:p>
        </w:tc>
        <w:tc>
          <w:tcPr>
            <w:tcW w:w="2212" w:type="dxa"/>
            <w:vAlign w:val="center"/>
          </w:tcPr>
          <w:p>
            <w:pPr>
              <w:jc w:val="center"/>
              <w:rPr>
                <w:sz w:val="21"/>
                <w:szCs w:val="21"/>
              </w:rPr>
            </w:pPr>
            <w:r>
              <w:rPr>
                <w:rFonts w:hint="eastAsia"/>
                <w:sz w:val="21"/>
                <w:szCs w:val="21"/>
              </w:rPr>
              <w:t>18.2%</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其他初级</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1"/>
              </w:rPr>
              <w:t>未评级</w:t>
            </w:r>
          </w:p>
        </w:tc>
        <w:tc>
          <w:tcPr>
            <w:tcW w:w="2106" w:type="dxa"/>
            <w:vAlign w:val="center"/>
          </w:tcPr>
          <w:p>
            <w:pPr>
              <w:jc w:val="center"/>
              <w:rPr>
                <w:sz w:val="21"/>
                <w:szCs w:val="21"/>
              </w:rPr>
            </w:pPr>
            <w:r>
              <w:rPr>
                <w:rFonts w:hint="eastAsia"/>
                <w:sz w:val="21"/>
                <w:szCs w:val="21"/>
              </w:rPr>
              <w:t>8</w:t>
            </w:r>
          </w:p>
        </w:tc>
        <w:tc>
          <w:tcPr>
            <w:tcW w:w="2212" w:type="dxa"/>
            <w:vAlign w:val="center"/>
          </w:tcPr>
          <w:p>
            <w:pPr>
              <w:jc w:val="center"/>
              <w:rPr>
                <w:sz w:val="21"/>
                <w:szCs w:val="21"/>
              </w:rPr>
            </w:pPr>
            <w:r>
              <w:rPr>
                <w:sz w:val="21"/>
                <w:szCs w:val="21"/>
              </w:rPr>
              <w:t>0</w:t>
            </w:r>
          </w:p>
        </w:tc>
      </w:tr>
      <w:tr>
        <w:trPr>
          <w:cantSplit/>
        </w:trPr>
        <w:tc>
          <w:tcPr>
            <w:tcW w:w="1265" w:type="dxa"/>
            <w:vMerge w:val="restart"/>
            <w:vAlign w:val="center"/>
          </w:tcPr>
          <w:p>
            <w:pPr>
              <w:jc w:val="center"/>
              <w:rPr>
                <w:sz w:val="21"/>
                <w:szCs w:val="21"/>
              </w:rPr>
            </w:pPr>
            <w:r>
              <w:rPr>
                <w:rFonts w:hint="eastAsia"/>
                <w:sz w:val="21"/>
                <w:szCs w:val="21"/>
              </w:rPr>
              <w:t>最高学位</w:t>
            </w:r>
          </w:p>
        </w:tc>
        <w:tc>
          <w:tcPr>
            <w:tcW w:w="2750" w:type="dxa"/>
            <w:vAlign w:val="center"/>
          </w:tcPr>
          <w:p>
            <w:pPr>
              <w:jc w:val="center"/>
              <w:rPr>
                <w:sz w:val="21"/>
                <w:szCs w:val="21"/>
              </w:rPr>
            </w:pPr>
            <w:r>
              <w:rPr>
                <w:rFonts w:hint="eastAsia"/>
                <w:sz w:val="21"/>
                <w:szCs w:val="22"/>
              </w:rPr>
              <w:t>博士</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硕士</w:t>
            </w:r>
          </w:p>
        </w:tc>
        <w:tc>
          <w:tcPr>
            <w:tcW w:w="2106" w:type="dxa"/>
            <w:vAlign w:val="center"/>
          </w:tcPr>
          <w:p>
            <w:pPr>
              <w:jc w:val="center"/>
              <w:rPr>
                <w:sz w:val="21"/>
                <w:szCs w:val="21"/>
              </w:rPr>
            </w:pPr>
            <w:r>
              <w:rPr>
                <w:rFonts w:hint="eastAsia"/>
                <w:sz w:val="21"/>
                <w:szCs w:val="21"/>
              </w:rPr>
              <w:t>6</w:t>
            </w:r>
          </w:p>
        </w:tc>
        <w:tc>
          <w:tcPr>
            <w:tcW w:w="2212" w:type="dxa"/>
            <w:vAlign w:val="center"/>
          </w:tcPr>
          <w:p>
            <w:pPr>
              <w:jc w:val="center"/>
              <w:rPr>
                <w:sz w:val="21"/>
                <w:szCs w:val="21"/>
              </w:rPr>
            </w:pPr>
            <w:r>
              <w:rPr>
                <w:rFonts w:hint="eastAsia"/>
                <w:sz w:val="21"/>
                <w:szCs w:val="21"/>
              </w:rPr>
              <w:t>54.5%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学士</w:t>
            </w:r>
          </w:p>
        </w:tc>
        <w:tc>
          <w:tcPr>
            <w:tcW w:w="2106" w:type="dxa"/>
            <w:vAlign w:val="center"/>
          </w:tcPr>
          <w:p>
            <w:pPr>
              <w:jc w:val="center"/>
              <w:rPr>
                <w:sz w:val="21"/>
                <w:szCs w:val="21"/>
              </w:rPr>
            </w:pPr>
            <w:r>
              <w:rPr>
                <w:rFonts w:hint="eastAsia"/>
                <w:sz w:val="21"/>
                <w:szCs w:val="21"/>
              </w:rPr>
              <w:t>5</w:t>
            </w:r>
          </w:p>
        </w:tc>
        <w:tc>
          <w:tcPr>
            <w:tcW w:w="2212" w:type="dxa"/>
            <w:vAlign w:val="center"/>
          </w:tcPr>
          <w:p>
            <w:pPr>
              <w:jc w:val="center"/>
              <w:rPr>
                <w:sz w:val="21"/>
                <w:szCs w:val="21"/>
              </w:rPr>
            </w:pPr>
            <w:r>
              <w:rPr>
                <w:rFonts w:hint="eastAsia"/>
                <w:sz w:val="21"/>
                <w:szCs w:val="21"/>
              </w:rPr>
              <w:t>45.5%</w:t>
            </w:r>
          </w:p>
        </w:tc>
      </w:tr>
      <w:tr>
        <w:trPr>
          <w:cantSplit/>
        </w:trPr>
        <w:tc>
          <w:tcPr>
            <w:tcW w:w="1265" w:type="dxa"/>
            <w:vMerge w:val="continue"/>
            <w:vAlign w:val="center"/>
          </w:tcPr>
          <w:p>
            <w:pPr>
              <w:jc w:val="center"/>
              <w:rPr>
                <w:sz w:val="21"/>
                <w:szCs w:val="21"/>
              </w:rPr>
            </w:pPr>
          </w:p>
        </w:tc>
        <w:tc>
          <w:tcPr>
            <w:tcW w:w="2750" w:type="dxa"/>
            <w:vAlign w:val="center"/>
          </w:tcPr>
          <w:p>
            <w:pPr>
              <w:jc w:val="center"/>
              <w:rPr>
                <w:sz w:val="21"/>
                <w:szCs w:val="21"/>
              </w:rPr>
            </w:pPr>
            <w:r>
              <w:rPr>
                <w:rFonts w:hint="eastAsia"/>
                <w:sz w:val="21"/>
                <w:szCs w:val="22"/>
              </w:rPr>
              <w:t>无学位</w:t>
            </w:r>
          </w:p>
        </w:tc>
        <w:tc>
          <w:tcPr>
            <w:tcW w:w="2106" w:type="dxa"/>
            <w:vAlign w:val="center"/>
          </w:tcPr>
          <w:p>
            <w:pPr>
              <w:jc w:val="center"/>
              <w:rPr>
                <w:sz w:val="21"/>
                <w:szCs w:val="21"/>
              </w:rPr>
            </w:pPr>
            <w:r>
              <w:rPr>
                <w:sz w:val="21"/>
                <w:szCs w:val="21"/>
              </w:rPr>
              <w:t>0</w:t>
            </w:r>
          </w:p>
        </w:tc>
        <w:tc>
          <w:tcPr>
            <w:tcW w:w="2212" w:type="dxa"/>
            <w:vAlign w:val="center"/>
          </w:tcPr>
          <w:p>
            <w:pPr>
              <w:jc w:val="center"/>
              <w:rPr>
                <w:sz w:val="21"/>
                <w:szCs w:val="21"/>
              </w:rPr>
            </w:pPr>
            <w:r>
              <w:rPr>
                <w:sz w:val="21"/>
                <w:szCs w:val="21"/>
              </w:rPr>
              <w:t>0</w:t>
            </w:r>
          </w:p>
        </w:tc>
      </w:tr>
    </w:tbl>
    <w:p/>
    <w:p>
      <w:pPr>
        <w:pStyle w:val="4"/>
        <w:rPr>
          <w:rFonts w:ascii="宋体" w:hAnsi="宋体" w:eastAsia="宋体"/>
          <w:b w:val="0"/>
          <w:bCs w:val="0"/>
          <w:sz w:val="24"/>
          <w:szCs w:val="24"/>
        </w:rPr>
      </w:pPr>
      <w:bookmarkStart w:id="70" w:name="_Toc154735781"/>
      <w:r>
        <w:rPr>
          <w:rFonts w:ascii="宋体" w:hAnsi="宋体" w:eastAsia="宋体"/>
          <w:b w:val="0"/>
          <w:bCs w:val="0"/>
          <w:sz w:val="24"/>
          <w:szCs w:val="24"/>
        </w:rPr>
        <w:t>4.3</w:t>
      </w:r>
      <w:bookmarkStart w:id="71" w:name="OLE_LINK45"/>
      <w:r>
        <w:rPr>
          <w:rFonts w:hint="eastAsia" w:ascii="宋体" w:hAnsi="宋体" w:eastAsia="宋体"/>
          <w:b w:val="0"/>
          <w:bCs w:val="0"/>
          <w:sz w:val="24"/>
          <w:szCs w:val="24"/>
        </w:rPr>
        <w:t>教师教学</w:t>
      </w:r>
      <w:bookmarkEnd w:id="71"/>
      <w:r>
        <w:rPr>
          <w:rFonts w:hint="eastAsia" w:ascii="宋体" w:hAnsi="宋体" w:eastAsia="宋体"/>
          <w:b w:val="0"/>
          <w:bCs w:val="0"/>
          <w:sz w:val="24"/>
          <w:szCs w:val="24"/>
        </w:rPr>
        <w:t>科研情况</w:t>
      </w:r>
      <w:bookmarkEnd w:id="70"/>
      <w:r>
        <w:rPr>
          <w:rFonts w:hint="eastAsia" w:ascii="宋体" w:hAnsi="宋体" w:eastAsia="宋体"/>
          <w:b w:val="0"/>
          <w:bCs w:val="0"/>
          <w:sz w:val="24"/>
          <w:szCs w:val="24"/>
        </w:rPr>
        <w:t xml:space="preserve"> </w:t>
      </w:r>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4.3.1教师主持教育教学改革项目情况</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教师主持教育教学改革项目</w:t>
      </w:r>
      <w:r>
        <w:rPr>
          <w:rFonts w:hint="eastAsia" w:ascii="仿宋" w:hAnsi="仿宋" w:eastAsia="仿宋" w:cstheme="minorBidi"/>
          <w:kern w:val="2"/>
        </w:rPr>
        <w:t>数为0。</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2552"/>
        <w:gridCol w:w="1559"/>
        <w:gridCol w:w="2347"/>
      </w:tblGrid>
      <w:tr>
        <w:tc>
          <w:tcPr>
            <w:tcW w:w="1838" w:type="dxa"/>
            <w:vAlign w:val="center"/>
          </w:tcPr>
          <w:p>
            <w:pPr>
              <w:jc w:val="center"/>
              <w:rPr>
                <w:sz w:val="21"/>
                <w:szCs w:val="21"/>
              </w:rPr>
            </w:pPr>
            <w:r>
              <w:rPr>
                <w:rFonts w:hint="eastAsia"/>
                <w:sz w:val="21"/>
                <w:szCs w:val="21"/>
              </w:rPr>
              <w:t>类别</w:t>
            </w:r>
          </w:p>
        </w:tc>
        <w:tc>
          <w:tcPr>
            <w:tcW w:w="2552" w:type="dxa"/>
            <w:vAlign w:val="center"/>
          </w:tcPr>
          <w:p>
            <w:pPr>
              <w:jc w:val="center"/>
              <w:rPr>
                <w:sz w:val="21"/>
                <w:szCs w:val="21"/>
              </w:rPr>
            </w:pPr>
            <w:r>
              <w:rPr>
                <w:rFonts w:hint="eastAsia"/>
                <w:sz w:val="21"/>
                <w:szCs w:val="21"/>
              </w:rPr>
              <w:t>项目数</w:t>
            </w:r>
          </w:p>
        </w:tc>
        <w:tc>
          <w:tcPr>
            <w:tcW w:w="1559" w:type="dxa"/>
            <w:vAlign w:val="center"/>
          </w:tcPr>
          <w:p>
            <w:pPr>
              <w:jc w:val="center"/>
              <w:rPr>
                <w:sz w:val="21"/>
                <w:szCs w:val="21"/>
              </w:rPr>
            </w:pPr>
            <w:r>
              <w:rPr>
                <w:rFonts w:hint="eastAsia"/>
                <w:sz w:val="21"/>
                <w:szCs w:val="21"/>
              </w:rPr>
              <w:t>经费（万元）</w:t>
            </w:r>
          </w:p>
        </w:tc>
        <w:tc>
          <w:tcPr>
            <w:tcW w:w="2347" w:type="dxa"/>
            <w:vAlign w:val="center"/>
          </w:tcPr>
          <w:p>
            <w:pPr>
              <w:jc w:val="center"/>
              <w:rPr>
                <w:sz w:val="21"/>
                <w:szCs w:val="21"/>
              </w:rPr>
            </w:pPr>
            <w:r>
              <w:rPr>
                <w:rFonts w:hint="eastAsia"/>
                <w:sz w:val="21"/>
                <w:szCs w:val="21"/>
              </w:rPr>
              <w:t>参与教师数（人次）</w:t>
            </w:r>
          </w:p>
        </w:tc>
      </w:tr>
      <w:tr>
        <w:tc>
          <w:tcPr>
            <w:tcW w:w="1838" w:type="dxa"/>
            <w:vAlign w:val="center"/>
          </w:tcPr>
          <w:p>
            <w:pPr>
              <w:jc w:val="center"/>
              <w:rPr>
                <w:sz w:val="21"/>
                <w:szCs w:val="21"/>
              </w:rPr>
            </w:pPr>
            <w:r>
              <w:rPr>
                <w:rFonts w:hint="eastAsia"/>
                <w:sz w:val="21"/>
                <w:szCs w:val="22"/>
              </w:rPr>
              <w:t>国家级</w:t>
            </w:r>
          </w:p>
        </w:tc>
        <w:tc>
          <w:tcPr>
            <w:tcW w:w="2552" w:type="dxa"/>
            <w:vAlign w:val="center"/>
          </w:tcPr>
          <w:p>
            <w:pPr>
              <w:jc w:val="center"/>
              <w:rPr>
                <w:sz w:val="21"/>
                <w:szCs w:val="21"/>
              </w:rPr>
            </w:pPr>
            <w:r>
              <w:rPr>
                <w:sz w:val="21"/>
                <w:szCs w:val="21"/>
              </w:rPr>
              <w:t>0</w:t>
            </w:r>
            <w:bookmarkStart w:id="72" w:name="OLE_LINK46"/>
            <w:bookmarkEnd w:id="72"/>
          </w:p>
        </w:tc>
        <w:tc>
          <w:tcPr>
            <w:tcW w:w="1559" w:type="dxa"/>
            <w:vAlign w:val="center"/>
          </w:tcPr>
          <w:p>
            <w:pPr>
              <w:jc w:val="center"/>
              <w:rPr>
                <w:sz w:val="21"/>
                <w:szCs w:val="21"/>
              </w:rPr>
            </w:pPr>
            <w:r>
              <w:rPr>
                <w:sz w:val="21"/>
                <w:szCs w:val="21"/>
              </w:rPr>
              <w:t>0</w:t>
            </w:r>
          </w:p>
        </w:tc>
        <w:tc>
          <w:tcPr>
            <w:tcW w:w="2347" w:type="dxa"/>
            <w:vAlign w:val="center"/>
          </w:tcPr>
          <w:p>
            <w:pPr>
              <w:jc w:val="center"/>
              <w:rPr>
                <w:sz w:val="21"/>
                <w:szCs w:val="21"/>
              </w:rPr>
            </w:pPr>
            <w:r>
              <w:rPr>
                <w:sz w:val="21"/>
                <w:szCs w:val="21"/>
              </w:rPr>
              <w:t>0</w:t>
            </w:r>
          </w:p>
        </w:tc>
      </w:tr>
      <w:tr>
        <w:tc>
          <w:tcPr>
            <w:tcW w:w="1838" w:type="dxa"/>
            <w:vAlign w:val="center"/>
          </w:tcPr>
          <w:p>
            <w:pPr>
              <w:jc w:val="center"/>
              <w:rPr>
                <w:sz w:val="21"/>
                <w:szCs w:val="21"/>
              </w:rPr>
            </w:pPr>
            <w:r>
              <w:rPr>
                <w:rFonts w:hint="eastAsia"/>
                <w:sz w:val="21"/>
                <w:szCs w:val="22"/>
              </w:rPr>
              <w:t>省部级</w:t>
            </w:r>
          </w:p>
        </w:tc>
        <w:tc>
          <w:tcPr>
            <w:tcW w:w="2552" w:type="dxa"/>
            <w:vAlign w:val="center"/>
          </w:tcPr>
          <w:p>
            <w:pPr>
              <w:jc w:val="center"/>
              <w:rPr>
                <w:sz w:val="21"/>
                <w:szCs w:val="21"/>
              </w:rPr>
            </w:pPr>
            <w:r>
              <w:rPr>
                <w:sz w:val="21"/>
                <w:szCs w:val="21"/>
              </w:rPr>
              <w:t>0</w:t>
            </w:r>
          </w:p>
        </w:tc>
        <w:tc>
          <w:tcPr>
            <w:tcW w:w="1559" w:type="dxa"/>
            <w:vAlign w:val="center"/>
          </w:tcPr>
          <w:p>
            <w:pPr>
              <w:jc w:val="center"/>
              <w:rPr>
                <w:sz w:val="21"/>
                <w:szCs w:val="21"/>
              </w:rPr>
            </w:pPr>
            <w:r>
              <w:rPr>
                <w:sz w:val="21"/>
                <w:szCs w:val="21"/>
              </w:rPr>
              <w:t>0</w:t>
            </w:r>
          </w:p>
        </w:tc>
        <w:tc>
          <w:tcPr>
            <w:tcW w:w="2347" w:type="dxa"/>
            <w:vAlign w:val="center"/>
          </w:tcPr>
          <w:p>
            <w:pPr>
              <w:jc w:val="center"/>
              <w:rPr>
                <w:sz w:val="21"/>
                <w:szCs w:val="21"/>
              </w:rPr>
            </w:pPr>
            <w:r>
              <w:rPr>
                <w:sz w:val="21"/>
                <w:szCs w:val="21"/>
              </w:rPr>
              <w:t>0</w:t>
            </w:r>
          </w:p>
        </w:tc>
      </w:tr>
    </w:tbl>
    <w:p/>
    <w:p>
      <w:pPr>
        <w:pStyle w:val="5"/>
        <w:rPr>
          <w:rFonts w:ascii="宋体" w:hAnsi="宋体" w:eastAsia="宋体" w:cstheme="minorBidi"/>
          <w:b w:val="0"/>
          <w:bCs w:val="0"/>
          <w:kern w:val="2"/>
          <w:sz w:val="24"/>
          <w:szCs w:val="24"/>
        </w:rPr>
      </w:pPr>
      <w:r>
        <w:rPr>
          <w:rFonts w:ascii="宋体" w:hAnsi="宋体" w:eastAsia="宋体" w:cstheme="minorBidi"/>
          <w:b w:val="0"/>
          <w:bCs w:val="0"/>
          <w:kern w:val="2"/>
          <w:sz w:val="24"/>
          <w:szCs w:val="24"/>
        </w:rPr>
        <w:t>4.3.2教师主编本专业教材情况</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2</w:t>
      </w:r>
      <w:r>
        <w:rPr>
          <w:rFonts w:ascii="仿宋" w:hAnsi="仿宋" w:eastAsia="仿宋" w:cstheme="minorBidi"/>
          <w:kern w:val="2"/>
        </w:rPr>
        <w:t>022</w:t>
      </w:r>
      <w:r>
        <w:rPr>
          <w:rFonts w:hint="eastAsia" w:ascii="仿宋" w:hAnsi="仿宋" w:eastAsia="仿宋" w:cstheme="minorBidi"/>
          <w:kern w:val="2"/>
        </w:rPr>
        <w:t>年1</w:t>
      </w:r>
      <w:r>
        <w:rPr>
          <w:rFonts w:ascii="仿宋" w:hAnsi="仿宋" w:eastAsia="仿宋" w:cstheme="minorBidi"/>
          <w:kern w:val="2"/>
        </w:rPr>
        <w:t>1</w:t>
      </w:r>
      <w:r>
        <w:rPr>
          <w:rFonts w:hint="eastAsia" w:ascii="仿宋" w:hAnsi="仿宋" w:eastAsia="仿宋" w:cstheme="minorBidi"/>
          <w:kern w:val="2"/>
        </w:rPr>
        <w:t>月，养老服务专业6门课程获批</w:t>
      </w:r>
      <w:r>
        <w:rPr>
          <w:rFonts w:ascii="仿宋" w:hAnsi="仿宋" w:eastAsia="仿宋" w:cstheme="minorBidi"/>
          <w:kern w:val="2"/>
        </w:rPr>
        <w:t>上海工程技术大学首批“产教融合教材”建设项目立项</w:t>
      </w:r>
      <w:r>
        <w:rPr>
          <w:rFonts w:hint="eastAsia" w:ascii="仿宋" w:hAnsi="仿宋" w:eastAsia="仿宋" w:cstheme="minorBidi"/>
          <w:kern w:val="2"/>
        </w:rPr>
        <w:t>，分别为《养老服务管理概论》、《健康管理》、《养老金融》、《智慧养老》、《老年社会工作》、《老年心理学》，这六本教材正在编写中，预计2024年出版。</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217"/>
        <w:gridCol w:w="1043"/>
        <w:gridCol w:w="2275"/>
        <w:gridCol w:w="1660"/>
      </w:tblGrid>
      <w:tr>
        <w:tc>
          <w:tcPr>
            <w:tcW w:w="1101" w:type="dxa"/>
          </w:tcPr>
          <w:p>
            <w:pPr>
              <w:jc w:val="center"/>
              <w:rPr>
                <w:rFonts w:ascii="Times New Roman" w:hAnsi="Times New Roman" w:cs="Times New Roman"/>
                <w:sz w:val="21"/>
                <w:szCs w:val="21"/>
              </w:rPr>
            </w:pPr>
            <w:r>
              <w:rPr>
                <w:rFonts w:ascii="Times New Roman" w:hAnsi="Times New Roman" w:cs="Times New Roman"/>
                <w:sz w:val="21"/>
                <w:szCs w:val="21"/>
              </w:rPr>
              <w:t>教师姓名</w:t>
            </w:r>
          </w:p>
        </w:tc>
        <w:tc>
          <w:tcPr>
            <w:tcW w:w="2217" w:type="dxa"/>
          </w:tcPr>
          <w:p>
            <w:pPr>
              <w:jc w:val="center"/>
              <w:rPr>
                <w:rFonts w:ascii="Times New Roman" w:hAnsi="Times New Roman" w:cs="Times New Roman"/>
                <w:sz w:val="21"/>
                <w:szCs w:val="21"/>
              </w:rPr>
            </w:pPr>
            <w:r>
              <w:rPr>
                <w:rFonts w:ascii="Times New Roman" w:hAnsi="Times New Roman" w:cs="Times New Roman"/>
                <w:sz w:val="21"/>
                <w:szCs w:val="21"/>
              </w:rPr>
              <w:t>教材名称</w:t>
            </w:r>
          </w:p>
        </w:tc>
        <w:tc>
          <w:tcPr>
            <w:tcW w:w="1043" w:type="dxa"/>
          </w:tcPr>
          <w:p>
            <w:pPr>
              <w:jc w:val="center"/>
              <w:rPr>
                <w:rFonts w:ascii="Times New Roman" w:hAnsi="Times New Roman" w:cs="Times New Roman"/>
                <w:sz w:val="21"/>
                <w:szCs w:val="21"/>
              </w:rPr>
            </w:pPr>
            <w:r>
              <w:rPr>
                <w:rFonts w:ascii="Times New Roman" w:hAnsi="Times New Roman" w:cs="Times New Roman"/>
                <w:sz w:val="21"/>
                <w:szCs w:val="21"/>
              </w:rPr>
              <w:t>ISBN</w:t>
            </w:r>
          </w:p>
        </w:tc>
        <w:tc>
          <w:tcPr>
            <w:tcW w:w="2275" w:type="dxa"/>
          </w:tcPr>
          <w:p>
            <w:pPr>
              <w:jc w:val="center"/>
              <w:rPr>
                <w:rFonts w:ascii="Times New Roman" w:hAnsi="Times New Roman" w:cs="Times New Roman"/>
                <w:sz w:val="21"/>
                <w:szCs w:val="21"/>
              </w:rPr>
            </w:pPr>
            <w:r>
              <w:rPr>
                <w:rFonts w:ascii="Times New Roman" w:hAnsi="Times New Roman" w:cs="Times New Roman"/>
                <w:sz w:val="21"/>
                <w:szCs w:val="21"/>
              </w:rPr>
              <w:t>出版社</w:t>
            </w:r>
          </w:p>
        </w:tc>
        <w:tc>
          <w:tcPr>
            <w:tcW w:w="1660" w:type="dxa"/>
          </w:tcPr>
          <w:p>
            <w:pPr>
              <w:jc w:val="center"/>
              <w:rPr>
                <w:rFonts w:ascii="Times New Roman" w:hAnsi="Times New Roman" w:cs="Times New Roman"/>
                <w:sz w:val="21"/>
                <w:szCs w:val="21"/>
              </w:rPr>
            </w:pPr>
            <w:r>
              <w:rPr>
                <w:rFonts w:ascii="Times New Roman" w:hAnsi="Times New Roman" w:cs="Times New Roman"/>
                <w:sz w:val="21"/>
                <w:szCs w:val="21"/>
              </w:rPr>
              <w:t>出版时间</w:t>
            </w:r>
          </w:p>
        </w:tc>
      </w:tr>
      <w:tr>
        <w:tc>
          <w:tcPr>
            <w:tcW w:w="1101" w:type="dxa"/>
          </w:tcPr>
          <w:p>
            <w:pPr>
              <w:jc w:val="center"/>
              <w:rPr>
                <w:rFonts w:ascii="Times New Roman" w:hAnsi="Times New Roman" w:cs="Times New Roman"/>
                <w:sz w:val="21"/>
                <w:szCs w:val="21"/>
              </w:rPr>
            </w:pPr>
            <w:r>
              <w:rPr>
                <w:rFonts w:ascii="Times New Roman" w:hAnsi="Times New Roman" w:cs="Times New Roman"/>
                <w:sz w:val="21"/>
                <w:szCs w:val="21"/>
              </w:rPr>
              <w:t>史健勇</w:t>
            </w:r>
          </w:p>
        </w:tc>
        <w:tc>
          <w:tcPr>
            <w:tcW w:w="2217" w:type="dxa"/>
          </w:tcPr>
          <w:p>
            <w:pPr>
              <w:jc w:val="center"/>
              <w:rPr>
                <w:rFonts w:ascii="Times New Roman" w:hAnsi="Times New Roman" w:cs="Times New Roman"/>
                <w:sz w:val="21"/>
                <w:szCs w:val="21"/>
              </w:rPr>
            </w:pPr>
            <w:r>
              <w:rPr>
                <w:rFonts w:ascii="Times New Roman" w:hAnsi="Times New Roman" w:cs="Times New Roman"/>
                <w:sz w:val="21"/>
                <w:szCs w:val="21"/>
              </w:rPr>
              <w:t>养老服务管理概论</w:t>
            </w:r>
          </w:p>
        </w:tc>
        <w:tc>
          <w:tcPr>
            <w:tcW w:w="1043" w:type="dxa"/>
          </w:tcPr>
          <w:p>
            <w:pPr>
              <w:jc w:val="center"/>
              <w:rPr>
                <w:rFonts w:ascii="Times New Roman" w:hAnsi="Times New Roman" w:cs="Times New Roman"/>
                <w:sz w:val="21"/>
                <w:szCs w:val="21"/>
              </w:rPr>
            </w:pPr>
          </w:p>
        </w:tc>
        <w:tc>
          <w:tcPr>
            <w:tcW w:w="2275" w:type="dxa"/>
          </w:tcPr>
          <w:p>
            <w:pPr>
              <w:jc w:val="center"/>
              <w:rPr>
                <w:rFonts w:ascii="Times New Roman" w:hAnsi="Times New Roman" w:cs="Times New Roman"/>
                <w:sz w:val="21"/>
                <w:szCs w:val="21"/>
              </w:rPr>
            </w:pPr>
            <w:r>
              <w:rPr>
                <w:rFonts w:ascii="Times New Roman" w:hAnsi="Times New Roman" w:cs="Times New Roman"/>
                <w:sz w:val="21"/>
                <w:szCs w:val="21"/>
              </w:rPr>
              <w:t>清华大学出版社</w:t>
            </w:r>
          </w:p>
        </w:tc>
        <w:tc>
          <w:tcPr>
            <w:tcW w:w="1660" w:type="dxa"/>
          </w:tcPr>
          <w:p>
            <w:pPr>
              <w:jc w:val="center"/>
              <w:rPr>
                <w:rFonts w:ascii="Times New Roman" w:hAnsi="Times New Roman" w:cs="Times New Roman"/>
                <w:sz w:val="21"/>
                <w:szCs w:val="21"/>
              </w:rPr>
            </w:pPr>
            <w:r>
              <w:rPr>
                <w:rFonts w:ascii="Times New Roman" w:hAnsi="Times New Roman" w:cs="Times New Roman"/>
                <w:sz w:val="21"/>
                <w:szCs w:val="21"/>
              </w:rPr>
              <w:t>2024</w:t>
            </w:r>
          </w:p>
        </w:tc>
      </w:tr>
      <w:tr>
        <w:tc>
          <w:tcPr>
            <w:tcW w:w="1101" w:type="dxa"/>
          </w:tcPr>
          <w:p>
            <w:pPr>
              <w:jc w:val="center"/>
              <w:rPr>
                <w:rFonts w:ascii="Times New Roman" w:hAnsi="Times New Roman" w:cs="Times New Roman"/>
                <w:sz w:val="21"/>
                <w:szCs w:val="21"/>
              </w:rPr>
            </w:pPr>
            <w:r>
              <w:rPr>
                <w:rFonts w:ascii="Times New Roman" w:hAnsi="Times New Roman" w:cs="Times New Roman"/>
                <w:sz w:val="21"/>
                <w:szCs w:val="21"/>
              </w:rPr>
              <w:t>罗娟</w:t>
            </w:r>
          </w:p>
        </w:tc>
        <w:tc>
          <w:tcPr>
            <w:tcW w:w="2217" w:type="dxa"/>
          </w:tcPr>
          <w:p>
            <w:pPr>
              <w:jc w:val="center"/>
              <w:rPr>
                <w:rFonts w:ascii="Times New Roman" w:hAnsi="Times New Roman" w:cs="Times New Roman"/>
                <w:sz w:val="21"/>
                <w:szCs w:val="21"/>
              </w:rPr>
            </w:pPr>
            <w:r>
              <w:rPr>
                <w:rFonts w:ascii="Times New Roman" w:hAnsi="Times New Roman" w:eastAsia="仿宋" w:cs="Times New Roman"/>
                <w:kern w:val="2"/>
              </w:rPr>
              <w:t>健康管理</w:t>
            </w:r>
          </w:p>
        </w:tc>
        <w:tc>
          <w:tcPr>
            <w:tcW w:w="1043" w:type="dxa"/>
          </w:tcPr>
          <w:p>
            <w:pPr>
              <w:jc w:val="center"/>
              <w:rPr>
                <w:rFonts w:ascii="Times New Roman" w:hAnsi="Times New Roman" w:cs="Times New Roman"/>
                <w:sz w:val="21"/>
                <w:szCs w:val="21"/>
              </w:rPr>
            </w:pPr>
          </w:p>
        </w:tc>
        <w:tc>
          <w:tcPr>
            <w:tcW w:w="2275" w:type="dxa"/>
          </w:tcPr>
          <w:p>
            <w:pPr>
              <w:jc w:val="center"/>
              <w:rPr>
                <w:rFonts w:ascii="Times New Roman" w:hAnsi="Times New Roman" w:cs="Times New Roman"/>
                <w:sz w:val="21"/>
                <w:szCs w:val="21"/>
              </w:rPr>
            </w:pPr>
            <w:r>
              <w:rPr>
                <w:rFonts w:ascii="Times New Roman" w:hAnsi="Times New Roman" w:cs="Times New Roman"/>
                <w:sz w:val="21"/>
                <w:szCs w:val="21"/>
              </w:rPr>
              <w:t>清华大学出版社</w:t>
            </w:r>
          </w:p>
        </w:tc>
        <w:tc>
          <w:tcPr>
            <w:tcW w:w="1660" w:type="dxa"/>
          </w:tcPr>
          <w:p>
            <w:pPr>
              <w:jc w:val="center"/>
              <w:rPr>
                <w:rFonts w:ascii="Times New Roman" w:hAnsi="Times New Roman" w:cs="Times New Roman"/>
                <w:sz w:val="21"/>
                <w:szCs w:val="21"/>
              </w:rPr>
            </w:pPr>
            <w:r>
              <w:rPr>
                <w:rFonts w:ascii="Times New Roman" w:hAnsi="Times New Roman" w:cs="Times New Roman"/>
                <w:sz w:val="21"/>
                <w:szCs w:val="21"/>
              </w:rPr>
              <w:t>2024</w:t>
            </w:r>
          </w:p>
        </w:tc>
      </w:tr>
      <w:tr>
        <w:tc>
          <w:tcPr>
            <w:tcW w:w="1101" w:type="dxa"/>
          </w:tcPr>
          <w:p>
            <w:pPr>
              <w:jc w:val="center"/>
              <w:rPr>
                <w:rFonts w:ascii="Times New Roman" w:hAnsi="Times New Roman" w:cs="Times New Roman"/>
                <w:sz w:val="21"/>
                <w:szCs w:val="21"/>
              </w:rPr>
            </w:pPr>
            <w:r>
              <w:rPr>
                <w:rFonts w:ascii="Times New Roman" w:hAnsi="Times New Roman" w:cs="Times New Roman"/>
                <w:sz w:val="21"/>
                <w:szCs w:val="21"/>
              </w:rPr>
              <w:t>艾蔚</w:t>
            </w:r>
          </w:p>
        </w:tc>
        <w:tc>
          <w:tcPr>
            <w:tcW w:w="2217" w:type="dxa"/>
          </w:tcPr>
          <w:p>
            <w:pPr>
              <w:jc w:val="center"/>
              <w:rPr>
                <w:rFonts w:ascii="Times New Roman" w:hAnsi="Times New Roman" w:cs="Times New Roman"/>
                <w:sz w:val="21"/>
                <w:szCs w:val="21"/>
              </w:rPr>
            </w:pPr>
            <w:r>
              <w:rPr>
                <w:rFonts w:ascii="Times New Roman" w:hAnsi="Times New Roman" w:cs="Times New Roman"/>
                <w:sz w:val="21"/>
                <w:szCs w:val="21"/>
              </w:rPr>
              <w:t>养老金融</w:t>
            </w:r>
          </w:p>
        </w:tc>
        <w:tc>
          <w:tcPr>
            <w:tcW w:w="1043" w:type="dxa"/>
          </w:tcPr>
          <w:p>
            <w:pPr>
              <w:jc w:val="center"/>
              <w:rPr>
                <w:rFonts w:ascii="Times New Roman" w:hAnsi="Times New Roman" w:cs="Times New Roman"/>
                <w:sz w:val="21"/>
                <w:szCs w:val="21"/>
              </w:rPr>
            </w:pPr>
          </w:p>
        </w:tc>
        <w:tc>
          <w:tcPr>
            <w:tcW w:w="2275" w:type="dxa"/>
          </w:tcPr>
          <w:p>
            <w:pPr>
              <w:jc w:val="center"/>
              <w:rPr>
                <w:rFonts w:ascii="Times New Roman" w:hAnsi="Times New Roman" w:cs="Times New Roman"/>
                <w:sz w:val="21"/>
                <w:szCs w:val="21"/>
              </w:rPr>
            </w:pPr>
            <w:r>
              <w:rPr>
                <w:rFonts w:ascii="Times New Roman" w:hAnsi="Times New Roman" w:cs="Times New Roman"/>
                <w:sz w:val="21"/>
                <w:szCs w:val="21"/>
              </w:rPr>
              <w:t>清华大学出版社</w:t>
            </w:r>
          </w:p>
        </w:tc>
        <w:tc>
          <w:tcPr>
            <w:tcW w:w="1660" w:type="dxa"/>
          </w:tcPr>
          <w:p>
            <w:pPr>
              <w:jc w:val="center"/>
              <w:rPr>
                <w:rFonts w:ascii="Times New Roman" w:hAnsi="Times New Roman" w:cs="Times New Roman"/>
                <w:sz w:val="21"/>
                <w:szCs w:val="21"/>
              </w:rPr>
            </w:pPr>
            <w:r>
              <w:rPr>
                <w:rFonts w:ascii="Times New Roman" w:hAnsi="Times New Roman" w:cs="Times New Roman"/>
                <w:sz w:val="21"/>
                <w:szCs w:val="21"/>
              </w:rPr>
              <w:t>2024</w:t>
            </w:r>
          </w:p>
        </w:tc>
      </w:tr>
      <w:tr>
        <w:tc>
          <w:tcPr>
            <w:tcW w:w="1101" w:type="dxa"/>
          </w:tcPr>
          <w:p>
            <w:pPr>
              <w:jc w:val="center"/>
              <w:rPr>
                <w:rFonts w:ascii="Times New Roman" w:hAnsi="Times New Roman" w:cs="Times New Roman"/>
                <w:sz w:val="21"/>
                <w:szCs w:val="21"/>
              </w:rPr>
            </w:pPr>
            <w:r>
              <w:rPr>
                <w:rFonts w:ascii="Times New Roman" w:hAnsi="Times New Roman" w:cs="Times New Roman"/>
                <w:sz w:val="21"/>
                <w:szCs w:val="21"/>
              </w:rPr>
              <w:t>崔开昌</w:t>
            </w:r>
          </w:p>
        </w:tc>
        <w:tc>
          <w:tcPr>
            <w:tcW w:w="2217" w:type="dxa"/>
          </w:tcPr>
          <w:p>
            <w:pPr>
              <w:jc w:val="center"/>
              <w:rPr>
                <w:rFonts w:ascii="Times New Roman" w:hAnsi="Times New Roman" w:cs="Times New Roman"/>
                <w:sz w:val="21"/>
                <w:szCs w:val="21"/>
              </w:rPr>
            </w:pPr>
            <w:r>
              <w:rPr>
                <w:rFonts w:ascii="Times New Roman" w:hAnsi="Times New Roman" w:eastAsia="仿宋" w:cs="Times New Roman"/>
                <w:kern w:val="2"/>
              </w:rPr>
              <w:t>智慧养老</w:t>
            </w:r>
          </w:p>
        </w:tc>
        <w:tc>
          <w:tcPr>
            <w:tcW w:w="1043" w:type="dxa"/>
          </w:tcPr>
          <w:p>
            <w:pPr>
              <w:jc w:val="center"/>
              <w:rPr>
                <w:rFonts w:ascii="Times New Roman" w:hAnsi="Times New Roman" w:cs="Times New Roman"/>
                <w:sz w:val="21"/>
                <w:szCs w:val="21"/>
              </w:rPr>
            </w:pPr>
          </w:p>
        </w:tc>
        <w:tc>
          <w:tcPr>
            <w:tcW w:w="2275" w:type="dxa"/>
          </w:tcPr>
          <w:p>
            <w:pPr>
              <w:jc w:val="center"/>
              <w:rPr>
                <w:rFonts w:ascii="Times New Roman" w:hAnsi="Times New Roman" w:cs="Times New Roman"/>
                <w:sz w:val="21"/>
                <w:szCs w:val="21"/>
              </w:rPr>
            </w:pPr>
            <w:r>
              <w:rPr>
                <w:rFonts w:ascii="Times New Roman" w:hAnsi="Times New Roman" w:cs="Times New Roman"/>
                <w:sz w:val="21"/>
                <w:szCs w:val="21"/>
              </w:rPr>
              <w:t>清华大学出版社</w:t>
            </w:r>
          </w:p>
        </w:tc>
        <w:tc>
          <w:tcPr>
            <w:tcW w:w="1660" w:type="dxa"/>
          </w:tcPr>
          <w:p>
            <w:pPr>
              <w:jc w:val="center"/>
              <w:rPr>
                <w:rFonts w:ascii="Times New Roman" w:hAnsi="Times New Roman" w:cs="Times New Roman"/>
                <w:sz w:val="21"/>
                <w:szCs w:val="21"/>
              </w:rPr>
            </w:pPr>
            <w:r>
              <w:rPr>
                <w:rFonts w:ascii="Times New Roman" w:hAnsi="Times New Roman" w:cs="Times New Roman"/>
                <w:sz w:val="21"/>
                <w:szCs w:val="21"/>
              </w:rPr>
              <w:t>2024</w:t>
            </w:r>
          </w:p>
        </w:tc>
      </w:tr>
      <w:tr>
        <w:tc>
          <w:tcPr>
            <w:tcW w:w="1101" w:type="dxa"/>
          </w:tcPr>
          <w:p>
            <w:pPr>
              <w:jc w:val="center"/>
              <w:rPr>
                <w:rFonts w:ascii="Times New Roman" w:hAnsi="Times New Roman" w:cs="Times New Roman"/>
                <w:sz w:val="21"/>
                <w:szCs w:val="21"/>
              </w:rPr>
            </w:pPr>
            <w:r>
              <w:rPr>
                <w:rFonts w:ascii="Times New Roman" w:hAnsi="Times New Roman" w:cs="Times New Roman"/>
                <w:sz w:val="21"/>
                <w:szCs w:val="21"/>
              </w:rPr>
              <w:t>王玮</w:t>
            </w:r>
          </w:p>
        </w:tc>
        <w:tc>
          <w:tcPr>
            <w:tcW w:w="2217" w:type="dxa"/>
          </w:tcPr>
          <w:p>
            <w:pPr>
              <w:jc w:val="center"/>
              <w:rPr>
                <w:rFonts w:ascii="Times New Roman" w:hAnsi="Times New Roman" w:cs="Times New Roman"/>
                <w:sz w:val="21"/>
                <w:szCs w:val="21"/>
              </w:rPr>
            </w:pPr>
            <w:r>
              <w:rPr>
                <w:rFonts w:ascii="Times New Roman" w:hAnsi="Times New Roman" w:eastAsia="仿宋" w:cs="Times New Roman"/>
                <w:kern w:val="2"/>
              </w:rPr>
              <w:t>老年社会工作</w:t>
            </w:r>
          </w:p>
        </w:tc>
        <w:tc>
          <w:tcPr>
            <w:tcW w:w="1043" w:type="dxa"/>
          </w:tcPr>
          <w:p>
            <w:pPr>
              <w:jc w:val="center"/>
              <w:rPr>
                <w:rFonts w:ascii="Times New Roman" w:hAnsi="Times New Roman" w:cs="Times New Roman"/>
                <w:sz w:val="21"/>
                <w:szCs w:val="21"/>
              </w:rPr>
            </w:pPr>
          </w:p>
        </w:tc>
        <w:tc>
          <w:tcPr>
            <w:tcW w:w="2275" w:type="dxa"/>
          </w:tcPr>
          <w:p>
            <w:pPr>
              <w:jc w:val="center"/>
              <w:rPr>
                <w:rFonts w:ascii="Times New Roman" w:hAnsi="Times New Roman" w:cs="Times New Roman"/>
                <w:sz w:val="21"/>
                <w:szCs w:val="21"/>
              </w:rPr>
            </w:pPr>
            <w:r>
              <w:rPr>
                <w:rFonts w:ascii="Times New Roman" w:hAnsi="Times New Roman" w:cs="Times New Roman"/>
                <w:sz w:val="21"/>
                <w:szCs w:val="21"/>
              </w:rPr>
              <w:t>清华大学出版社</w:t>
            </w:r>
          </w:p>
        </w:tc>
        <w:tc>
          <w:tcPr>
            <w:tcW w:w="1660" w:type="dxa"/>
          </w:tcPr>
          <w:p>
            <w:pPr>
              <w:jc w:val="center"/>
              <w:rPr>
                <w:rFonts w:ascii="Times New Roman" w:hAnsi="Times New Roman" w:cs="Times New Roman"/>
                <w:sz w:val="21"/>
                <w:szCs w:val="21"/>
              </w:rPr>
            </w:pPr>
            <w:r>
              <w:rPr>
                <w:rFonts w:ascii="Times New Roman" w:hAnsi="Times New Roman" w:cs="Times New Roman"/>
                <w:sz w:val="21"/>
                <w:szCs w:val="21"/>
              </w:rPr>
              <w:t>2024</w:t>
            </w:r>
          </w:p>
        </w:tc>
      </w:tr>
      <w:tr>
        <w:tc>
          <w:tcPr>
            <w:tcW w:w="1101" w:type="dxa"/>
          </w:tcPr>
          <w:p>
            <w:pPr>
              <w:jc w:val="center"/>
              <w:rPr>
                <w:rFonts w:ascii="Times New Roman" w:hAnsi="Times New Roman" w:cs="Times New Roman"/>
                <w:sz w:val="21"/>
                <w:szCs w:val="21"/>
              </w:rPr>
            </w:pPr>
            <w:r>
              <w:rPr>
                <w:rFonts w:ascii="Times New Roman" w:hAnsi="Times New Roman" w:cs="Times New Roman"/>
                <w:sz w:val="21"/>
                <w:szCs w:val="21"/>
              </w:rPr>
              <w:t>刘丽婷</w:t>
            </w:r>
          </w:p>
        </w:tc>
        <w:tc>
          <w:tcPr>
            <w:tcW w:w="2217" w:type="dxa"/>
          </w:tcPr>
          <w:p>
            <w:pPr>
              <w:jc w:val="center"/>
              <w:rPr>
                <w:rFonts w:ascii="Times New Roman" w:hAnsi="Times New Roman" w:eastAsia="仿宋" w:cs="Times New Roman"/>
                <w:kern w:val="2"/>
              </w:rPr>
            </w:pPr>
            <w:r>
              <w:rPr>
                <w:rFonts w:ascii="Times New Roman" w:hAnsi="Times New Roman" w:eastAsia="仿宋" w:cs="Times New Roman"/>
                <w:kern w:val="2"/>
              </w:rPr>
              <w:t>老年心理学</w:t>
            </w:r>
          </w:p>
        </w:tc>
        <w:tc>
          <w:tcPr>
            <w:tcW w:w="1043" w:type="dxa"/>
          </w:tcPr>
          <w:p>
            <w:pPr>
              <w:jc w:val="center"/>
              <w:rPr>
                <w:rFonts w:ascii="Times New Roman" w:hAnsi="Times New Roman" w:cs="Times New Roman"/>
                <w:sz w:val="21"/>
                <w:szCs w:val="21"/>
              </w:rPr>
            </w:pPr>
          </w:p>
        </w:tc>
        <w:tc>
          <w:tcPr>
            <w:tcW w:w="2275" w:type="dxa"/>
          </w:tcPr>
          <w:p>
            <w:pPr>
              <w:jc w:val="center"/>
              <w:rPr>
                <w:rFonts w:ascii="Times New Roman" w:hAnsi="Times New Roman" w:cs="Times New Roman"/>
                <w:sz w:val="21"/>
                <w:szCs w:val="21"/>
              </w:rPr>
            </w:pPr>
            <w:r>
              <w:rPr>
                <w:rFonts w:ascii="Times New Roman" w:hAnsi="Times New Roman" w:cs="Times New Roman"/>
                <w:sz w:val="21"/>
                <w:szCs w:val="21"/>
              </w:rPr>
              <w:t>清华大学出版社</w:t>
            </w:r>
          </w:p>
        </w:tc>
        <w:tc>
          <w:tcPr>
            <w:tcW w:w="1660" w:type="dxa"/>
          </w:tcPr>
          <w:p>
            <w:pPr>
              <w:jc w:val="center"/>
              <w:rPr>
                <w:rFonts w:ascii="Times New Roman" w:hAnsi="Times New Roman" w:cs="Times New Roman"/>
                <w:sz w:val="21"/>
                <w:szCs w:val="21"/>
              </w:rPr>
            </w:pPr>
            <w:r>
              <w:rPr>
                <w:rFonts w:ascii="Times New Roman" w:hAnsi="Times New Roman" w:cs="Times New Roman"/>
                <w:sz w:val="21"/>
                <w:szCs w:val="21"/>
              </w:rPr>
              <w:t>2024</w:t>
            </w:r>
          </w:p>
        </w:tc>
      </w:tr>
    </w:tbl>
    <w:p>
      <w:pPr>
        <w:pStyle w:val="4"/>
        <w:rPr>
          <w:rFonts w:ascii="宋体" w:hAnsi="宋体" w:eastAsia="宋体"/>
          <w:b w:val="0"/>
          <w:bCs w:val="0"/>
          <w:sz w:val="24"/>
          <w:szCs w:val="24"/>
        </w:rPr>
      </w:pPr>
      <w:r>
        <w:rPr>
          <w:rFonts w:ascii="宋体" w:hAnsi="宋体" w:eastAsia="宋体"/>
          <w:b w:val="0"/>
          <w:bCs w:val="0"/>
          <w:sz w:val="24"/>
          <w:szCs w:val="24"/>
        </w:rPr>
        <w:t>4.3</w:t>
      </w:r>
      <w:r>
        <w:rPr>
          <w:rFonts w:hint="eastAsia" w:ascii="宋体" w:hAnsi="宋体" w:eastAsia="宋体"/>
          <w:b w:val="0"/>
          <w:bCs w:val="0"/>
          <w:sz w:val="24"/>
          <w:szCs w:val="24"/>
        </w:rPr>
        <w:t>.</w:t>
      </w:r>
      <w:r>
        <w:rPr>
          <w:rFonts w:ascii="宋体" w:hAnsi="宋体" w:eastAsia="宋体"/>
          <w:b w:val="0"/>
          <w:bCs w:val="0"/>
          <w:sz w:val="24"/>
          <w:szCs w:val="24"/>
        </w:rPr>
        <w:t>3</w:t>
      </w:r>
      <w:r>
        <w:rPr>
          <w:rFonts w:hint="eastAsia" w:ascii="宋体" w:hAnsi="宋体" w:eastAsia="宋体"/>
          <w:b w:val="0"/>
          <w:bCs w:val="0"/>
          <w:sz w:val="24"/>
          <w:szCs w:val="24"/>
        </w:rPr>
        <w:t xml:space="preserve">教师科研情况 </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养老服务管理专业教师团队，聚焦城乡养老服务、健康管理、养老保险、养老金融等重点研究方向，开展了深入的科学研究，取得了引人瞩目的成果。</w:t>
      </w:r>
      <w:r>
        <w:rPr>
          <w:rFonts w:ascii="仿宋" w:hAnsi="仿宋" w:eastAsia="仿宋" w:cstheme="minorBidi"/>
          <w:kern w:val="2"/>
        </w:rPr>
        <w:t>202</w:t>
      </w:r>
      <w:r>
        <w:rPr>
          <w:rFonts w:hint="eastAsia" w:ascii="仿宋" w:hAnsi="仿宋" w:eastAsia="仿宋" w:cstheme="minorBidi"/>
          <w:kern w:val="2"/>
        </w:rPr>
        <w:t>2</w:t>
      </w:r>
      <w:r>
        <w:rPr>
          <w:rFonts w:ascii="仿宋" w:hAnsi="仿宋" w:eastAsia="仿宋" w:cstheme="minorBidi"/>
          <w:kern w:val="2"/>
        </w:rPr>
        <w:t>-202</w:t>
      </w:r>
      <w:r>
        <w:rPr>
          <w:rFonts w:hint="eastAsia" w:ascii="仿宋" w:hAnsi="仿宋" w:eastAsia="仿宋" w:cstheme="minorBidi"/>
          <w:kern w:val="2"/>
        </w:rPr>
        <w:t>3学年本专业教师共发表14篇学术论文，主持项目23项。</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养老服务管理专业教师团队所取得的科研成果，有力地支撑了专业教学，主要体现在：首先，教师科研成果为课程教学提供了最具前沿性的案例和数据。如史健勇老师的系列课题《</w:t>
      </w:r>
      <w:r>
        <w:rPr>
          <w:rFonts w:ascii="仿宋" w:hAnsi="仿宋" w:eastAsia="仿宋" w:cstheme="minorBidi"/>
          <w:kern w:val="2"/>
        </w:rPr>
        <w:t>健康中国建设的理论、路径及实践模式研究</w:t>
      </w:r>
      <w:r>
        <w:rPr>
          <w:rFonts w:hint="eastAsia" w:ascii="仿宋" w:hAnsi="仿宋" w:eastAsia="仿宋" w:cstheme="minorBidi"/>
          <w:kern w:val="2"/>
        </w:rPr>
        <w:t>》、</w:t>
      </w:r>
    </w:p>
    <w:p>
      <w:pPr>
        <w:widowControl w:val="0"/>
        <w:spacing w:line="360" w:lineRule="auto"/>
        <w:rPr>
          <w:rFonts w:ascii="仿宋" w:hAnsi="仿宋" w:eastAsia="仿宋" w:cstheme="minorBidi"/>
          <w:kern w:val="2"/>
        </w:rPr>
      </w:pPr>
      <w:r>
        <w:rPr>
          <w:rFonts w:hint="eastAsia" w:ascii="仿宋" w:hAnsi="仿宋" w:eastAsia="仿宋" w:cstheme="minorBidi"/>
          <w:kern w:val="2"/>
        </w:rPr>
        <w:t>《</w:t>
      </w:r>
      <w:r>
        <w:rPr>
          <w:rFonts w:ascii="仿宋" w:hAnsi="仿宋" w:eastAsia="仿宋" w:cstheme="minorBidi"/>
          <w:kern w:val="2"/>
        </w:rPr>
        <w:t>全面推进健康中国建设的作用机制、实施效应及优化路径研究</w:t>
      </w:r>
      <w:r>
        <w:rPr>
          <w:rFonts w:hint="eastAsia" w:ascii="仿宋" w:hAnsi="仿宋" w:eastAsia="仿宋" w:cstheme="minorBidi"/>
          <w:kern w:val="2"/>
        </w:rPr>
        <w:t>》和《</w:t>
      </w:r>
      <w:r>
        <w:rPr>
          <w:rFonts w:ascii="仿宋" w:hAnsi="仿宋" w:eastAsia="仿宋" w:cstheme="minorBidi"/>
          <w:kern w:val="2"/>
        </w:rPr>
        <w:t>社会保障专题研究</w:t>
      </w:r>
      <w:r>
        <w:rPr>
          <w:rFonts w:hint="eastAsia" w:ascii="仿宋" w:hAnsi="仿宋" w:eastAsia="仿宋" w:cstheme="minorBidi"/>
          <w:kern w:val="2"/>
        </w:rPr>
        <w:t>》，以及罗娟老师的研究课题《</w:t>
      </w:r>
      <w:r>
        <w:rPr>
          <w:rFonts w:ascii="仿宋" w:hAnsi="仿宋" w:eastAsia="仿宋" w:cstheme="minorBidi"/>
          <w:kern w:val="2"/>
        </w:rPr>
        <w:t>重度老龄社会的风险识别、防控机制及应对策略研究</w:t>
      </w:r>
      <w:r>
        <w:rPr>
          <w:rFonts w:hint="eastAsia" w:ascii="仿宋" w:hAnsi="仿宋" w:eastAsia="仿宋" w:cstheme="minorBidi"/>
          <w:kern w:val="2"/>
        </w:rPr>
        <w:t>》、《</w:t>
      </w:r>
      <w:r>
        <w:rPr>
          <w:rFonts w:ascii="仿宋" w:hAnsi="仿宋" w:eastAsia="仿宋" w:cstheme="minorBidi"/>
          <w:kern w:val="2"/>
        </w:rPr>
        <w:t>优抚制度与其他社会保障制度衔接问题研究</w:t>
      </w:r>
      <w:r>
        <w:rPr>
          <w:rFonts w:hint="eastAsia" w:ascii="仿宋" w:hAnsi="仿宋" w:eastAsia="仿宋" w:cstheme="minorBidi"/>
          <w:kern w:val="2"/>
        </w:rPr>
        <w:t>》、《</w:t>
      </w:r>
      <w:r>
        <w:rPr>
          <w:rFonts w:ascii="仿宋" w:hAnsi="仿宋" w:eastAsia="仿宋" w:cstheme="minorBidi"/>
          <w:kern w:val="2"/>
        </w:rPr>
        <w:t>上海全面提升为老服务水平的思路和举措研究</w:t>
      </w:r>
      <w:r>
        <w:rPr>
          <w:rFonts w:hint="eastAsia" w:ascii="仿宋" w:hAnsi="仿宋" w:eastAsia="仿宋" w:cstheme="minorBidi"/>
          <w:kern w:val="2"/>
        </w:rPr>
        <w:t>》、《</w:t>
      </w:r>
      <w:r>
        <w:rPr>
          <w:rFonts w:ascii="仿宋" w:hAnsi="仿宋" w:eastAsia="仿宋" w:cstheme="minorBidi"/>
          <w:kern w:val="2"/>
        </w:rPr>
        <w:t>发展多层次、多支柱养老保险体系研究</w:t>
      </w:r>
      <w:r>
        <w:rPr>
          <w:rFonts w:hint="eastAsia" w:ascii="仿宋" w:hAnsi="仿宋" w:eastAsia="仿宋" w:cstheme="minorBidi"/>
          <w:kern w:val="2"/>
        </w:rPr>
        <w:t>》直接更新了《老年社会工作》、《老年政策法规》、《医疗与长期护理保险》、《老年经济学》等课程的理论，并提供了大量案例；王玮以赛促教，创新《老年社会工作》课程产教融合协同育人的理论与实践获得第15届全国商科教育实践教学大赛课程建设实践教学方案设计大赛一等奖。其次，依托教师的科研项目，使学生在实际的项目研究中获得严格的科研训练。如罗娟、崔开昌等老师依托上海市“政府公共决策支持”研究基地和“上海高校智库：社会保障问题研究中心”，组织和资助学生参与基地的专项调研课题。</w:t>
      </w:r>
    </w:p>
    <w:p>
      <w:pPr>
        <w:shd w:val="clear" w:color="auto" w:fill="FFFFFF"/>
        <w:spacing w:line="400" w:lineRule="exact"/>
        <w:rPr>
          <w:rFonts w:ascii="Times New Roman" w:hAnsi="Times New Roman"/>
          <w:b/>
          <w:bCs/>
          <w:color w:val="333333"/>
        </w:rPr>
      </w:pPr>
    </w:p>
    <w:p>
      <w:pPr>
        <w:shd w:val="clear" w:color="auto" w:fill="FFFFFF"/>
        <w:spacing w:line="400" w:lineRule="exact"/>
        <w:ind w:firstLine="964" w:firstLineChars="400"/>
        <w:jc w:val="center"/>
        <w:rPr>
          <w:rFonts w:ascii="Times New Roman" w:hAnsi="Times New Roman"/>
          <w:b/>
          <w:bCs/>
          <w:color w:val="333333"/>
        </w:rPr>
      </w:pPr>
      <w:r>
        <w:rPr>
          <w:rFonts w:hint="eastAsia" w:ascii="Times New Roman" w:hAnsi="Times New Roman"/>
          <w:b/>
          <w:bCs/>
          <w:color w:val="333333"/>
        </w:rPr>
        <w:t>202</w:t>
      </w:r>
      <w:r>
        <w:rPr>
          <w:rFonts w:ascii="Times New Roman" w:hAnsi="Times New Roman"/>
          <w:b/>
          <w:bCs/>
          <w:color w:val="333333"/>
        </w:rPr>
        <w:t>2</w:t>
      </w:r>
      <w:r>
        <w:rPr>
          <w:rFonts w:hint="eastAsia" w:ascii="Times New Roman" w:hAnsi="Times New Roman"/>
          <w:b/>
          <w:bCs/>
          <w:color w:val="333333"/>
        </w:rPr>
        <w:t>-202</w:t>
      </w:r>
      <w:r>
        <w:rPr>
          <w:rFonts w:ascii="Times New Roman" w:hAnsi="Times New Roman"/>
          <w:b/>
          <w:bCs/>
          <w:color w:val="333333"/>
        </w:rPr>
        <w:t>3</w:t>
      </w:r>
      <w:r>
        <w:rPr>
          <w:rFonts w:hint="eastAsia" w:ascii="Times New Roman" w:hAnsi="Times New Roman"/>
          <w:b/>
          <w:bCs/>
          <w:color w:val="333333"/>
        </w:rPr>
        <w:t>学年本专业发表学术论文及出版专著</w:t>
      </w:r>
    </w:p>
    <w:tbl>
      <w:tblPr>
        <w:tblStyle w:val="17"/>
        <w:tblW w:w="5212" w:type="pct"/>
        <w:tblInd w:w="-147" w:type="dxa"/>
        <w:tblLayout w:type="fixed"/>
        <w:tblCellMar>
          <w:top w:w="0" w:type="dxa"/>
          <w:left w:w="108" w:type="dxa"/>
          <w:bottom w:w="0" w:type="dxa"/>
          <w:right w:w="108" w:type="dxa"/>
        </w:tblCellMar>
      </w:tblPr>
      <w:tblGrid>
        <w:gridCol w:w="583"/>
        <w:gridCol w:w="3787"/>
        <w:gridCol w:w="1312"/>
        <w:gridCol w:w="1457"/>
        <w:gridCol w:w="726"/>
        <w:gridCol w:w="1018"/>
      </w:tblGrid>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val="0"/>
              <w:spacing w:line="360" w:lineRule="auto"/>
              <w:rPr>
                <w:rFonts w:cstheme="minorBidi"/>
                <w:kern w:val="2"/>
                <w:sz w:val="21"/>
                <w:szCs w:val="21"/>
              </w:rPr>
            </w:pPr>
            <w:r>
              <w:rPr>
                <w:rFonts w:hint="eastAsia" w:cstheme="minorBidi"/>
                <w:kern w:val="2"/>
                <w:sz w:val="21"/>
                <w:szCs w:val="21"/>
              </w:rPr>
              <w:t>序号</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360" w:lineRule="auto"/>
              <w:rPr>
                <w:rFonts w:cstheme="minorBidi"/>
                <w:kern w:val="2"/>
                <w:sz w:val="21"/>
                <w:szCs w:val="21"/>
              </w:rPr>
            </w:pPr>
            <w:r>
              <w:rPr>
                <w:rFonts w:cstheme="minorBidi"/>
                <w:kern w:val="2"/>
                <w:sz w:val="21"/>
                <w:szCs w:val="21"/>
              </w:rPr>
              <w:t>论文、专著名称</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360" w:lineRule="auto"/>
              <w:rPr>
                <w:rFonts w:cstheme="minorBidi"/>
                <w:kern w:val="2"/>
                <w:sz w:val="21"/>
                <w:szCs w:val="21"/>
              </w:rPr>
            </w:pPr>
            <w:r>
              <w:rPr>
                <w:rFonts w:hint="eastAsia" w:cstheme="minorBidi"/>
                <w:kern w:val="2"/>
                <w:sz w:val="21"/>
                <w:szCs w:val="21"/>
              </w:rPr>
              <w:t>作者</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360" w:lineRule="auto"/>
              <w:rPr>
                <w:rFonts w:cstheme="minorBidi"/>
                <w:kern w:val="2"/>
                <w:sz w:val="21"/>
                <w:szCs w:val="21"/>
              </w:rPr>
            </w:pPr>
            <w:r>
              <w:rPr>
                <w:rFonts w:cstheme="minorBidi"/>
                <w:kern w:val="2"/>
                <w:sz w:val="21"/>
                <w:szCs w:val="21"/>
              </w:rPr>
              <w:t>发表刊物、出版社名称</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360" w:lineRule="auto"/>
              <w:rPr>
                <w:rFonts w:cstheme="minorBidi"/>
                <w:kern w:val="2"/>
                <w:sz w:val="21"/>
                <w:szCs w:val="21"/>
              </w:rPr>
            </w:pPr>
            <w:r>
              <w:rPr>
                <w:rFonts w:hint="eastAsia" w:cstheme="minorBidi"/>
                <w:kern w:val="2"/>
                <w:sz w:val="21"/>
                <w:szCs w:val="21"/>
              </w:rPr>
              <w:t>是否核心期刊</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360" w:lineRule="auto"/>
              <w:rPr>
                <w:rFonts w:cstheme="minorBidi"/>
                <w:kern w:val="2"/>
                <w:sz w:val="21"/>
                <w:szCs w:val="21"/>
              </w:rPr>
            </w:pPr>
            <w:r>
              <w:rPr>
                <w:rFonts w:hint="eastAsia" w:cstheme="minorBidi"/>
                <w:kern w:val="2"/>
                <w:sz w:val="21"/>
                <w:szCs w:val="21"/>
              </w:rPr>
              <w:t>时间</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“全面三孩”政策背景下上海生育政策发展报告</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史健勇</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上海社会保障改革与发展绿皮书</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color w:val="333333"/>
                <w:sz w:val="21"/>
                <w:szCs w:val="21"/>
              </w:rPr>
            </w:pPr>
            <w:r>
              <w:rPr>
                <w:rFonts w:ascii="Times New Roman" w:hAnsi="Times New Roman" w:cs="Times New Roman"/>
                <w:color w:val="333333"/>
                <w:sz w:val="21"/>
                <w:szCs w:val="21"/>
              </w:rPr>
              <w:t>2023</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2</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上海长期护理保险模式及优化路径研究</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史健勇</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上海社会保障改革与发展绿皮书</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p>
        </w:tc>
        <w:tc>
          <w:tcPr>
            <w:tcW w:w="573" w:type="pct"/>
            <w:tcBorders>
              <w:top w:val="single" w:color="auto" w:sz="4" w:space="0"/>
              <w:left w:val="nil"/>
              <w:bottom w:val="single" w:color="auto" w:sz="4" w:space="0"/>
              <w:right w:val="single" w:color="auto" w:sz="4" w:space="0"/>
            </w:tcBorders>
            <w:shd w:val="clear" w:color="auto" w:fill="auto"/>
            <w:noWrap/>
            <w:vAlign w:val="center"/>
          </w:tcPr>
          <w:p>
            <w:pPr>
              <w:spacing w:after="156" w:afterLines="50"/>
              <w:rPr>
                <w:rFonts w:ascii="Times New Roman" w:hAnsi="Times New Roman" w:cs="Times New Roman"/>
                <w:color w:val="333333"/>
                <w:sz w:val="21"/>
                <w:szCs w:val="21"/>
              </w:rPr>
            </w:pPr>
            <w:r>
              <w:rPr>
                <w:rFonts w:ascii="Times New Roman" w:hAnsi="Times New Roman" w:cs="Times New Roman"/>
                <w:color w:val="333333"/>
                <w:sz w:val="21"/>
                <w:szCs w:val="21"/>
              </w:rPr>
              <w:t>2023</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3</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我国5个城市长期护理保险试点情况的比较研究</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张丹,罗娟,朱亦枫</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医学与社会</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2023.1</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4</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上海中心城区与郊区养老服务联动发展研究</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罗娟,章蕊,韩素念</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科学发展</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否</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2023.7</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5</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For Children or Grandchildren?-The Motivation of Intergenerational Care for the Elderly in China</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罗娟等</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INTERNATIONAL JOURNAL OF ENVIRONMENTAL RESEARCH AND PUBLIC HEALTH</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color w:val="333333"/>
                <w:sz w:val="21"/>
                <w:szCs w:val="21"/>
              </w:rPr>
            </w:pPr>
            <w:r>
              <w:rPr>
                <w:rFonts w:ascii="Times New Roman" w:hAnsi="Times New Roman" w:cs="Times New Roman"/>
                <w:color w:val="333333"/>
                <w:sz w:val="21"/>
                <w:szCs w:val="21"/>
              </w:rPr>
              <w:t>2023.1</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6</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Study on the Impact of Inherent Ability on the High Quality of Life in the Elderly Based on Mediating Effect of Value Participation</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罗娟等</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JOURNAL OF AUTISM AND DEVELOPMENTAL DISORDERS</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color w:val="333333"/>
                <w:sz w:val="21"/>
                <w:szCs w:val="21"/>
              </w:rPr>
            </w:pPr>
            <w:r>
              <w:rPr>
                <w:rFonts w:ascii="Times New Roman" w:hAnsi="Times New Roman" w:cs="Times New Roman"/>
                <w:color w:val="333333"/>
                <w:sz w:val="21"/>
                <w:szCs w:val="21"/>
              </w:rPr>
              <w:t>2023.2</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7</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Influencing factors of the treatment level of elderly care workers and their career development prospects</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崔开昌等</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BMC GERIATRICS</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color w:val="333333"/>
                <w:sz w:val="21"/>
                <w:szCs w:val="21"/>
              </w:rPr>
            </w:pPr>
            <w:r>
              <w:rPr>
                <w:rFonts w:ascii="Times New Roman" w:hAnsi="Times New Roman" w:cs="Times New Roman"/>
                <w:color w:val="333333"/>
                <w:sz w:val="21"/>
                <w:szCs w:val="21"/>
              </w:rPr>
              <w:t>2023.6</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8</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中国式现代化社会保障体系建设：价值引领与未来进路</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崔开昌;吴建南</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社会科学</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2023.5</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9</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长三角地区人口老龄化时空演变格局</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褚赵超;罗娟</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科技和产业</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否</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2023.8</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10</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中国式现代化背景下全国统一的社会保险公共服务平台建设：发展思路与实践路径</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崔开昌;</w:t>
            </w:r>
            <w:r>
              <w:fldChar w:fldCharType="begin"/>
            </w:r>
            <w:r>
              <w:instrText xml:space="preserve"> HYPERLINK "https://kns.cnki.net/kcms2/author/detail?v=w1Je9LIFm5DYNtKlT0bo14SJ27c2f7HxcvIUrnAwsNI9Pw10wBBAjGDoat1QWqQDMI0MxN66AbuRpDIVhU1BeJAUGjUbTe-EmU6sPHDQeZJ12kqwxniXQw==&amp;uniplatform=NZKPT&amp;language=CHS" \t "knet" </w:instrText>
            </w:r>
            <w:r>
              <w:fldChar w:fldCharType="separate"/>
            </w:r>
            <w:r>
              <w:rPr>
                <w:rFonts w:ascii="Times New Roman" w:hAnsi="Times New Roman" w:cs="Times New Roman"/>
                <w:color w:val="333333"/>
                <w:sz w:val="21"/>
                <w:szCs w:val="21"/>
              </w:rPr>
              <w:t>姬祥</w:t>
            </w:r>
            <w:r>
              <w:rPr>
                <w:rFonts w:ascii="Times New Roman" w:hAnsi="Times New Roman" w:cs="Times New Roman"/>
                <w:color w:val="333333"/>
                <w:sz w:val="21"/>
                <w:szCs w:val="21"/>
              </w:rPr>
              <w:fldChar w:fldCharType="end"/>
            </w:r>
            <w:r>
              <w:rPr>
                <w:rFonts w:ascii="Times New Roman" w:hAnsi="Times New Roman" w:cs="Times New Roman"/>
                <w:color w:val="333333"/>
                <w:sz w:val="21"/>
                <w:szCs w:val="21"/>
              </w:rPr>
              <w:t>;张星辉;</w:t>
            </w:r>
            <w:r>
              <w:fldChar w:fldCharType="begin"/>
            </w:r>
            <w:r>
              <w:instrText xml:space="preserve"> HYPERLINK "https://kns.cnki.net/kcms2/author/detail?v=w1Je9LIFm5DYNtKlT0bo14SJ27c2f7HxdnB8OwEIpd5PUBQhy4pVsScezatXBRrsf5lWnTbYZS7SDXRda57dnfjUoHSwBVpaeY-jBJ_M6IhEu7McDyMetw==&amp;uniplatform=NZKPT&amp;language=CHS" \t "knet" </w:instrText>
            </w:r>
            <w:r>
              <w:fldChar w:fldCharType="separate"/>
            </w:r>
            <w:r>
              <w:rPr>
                <w:rFonts w:ascii="Times New Roman" w:hAnsi="Times New Roman" w:cs="Times New Roman"/>
                <w:color w:val="333333"/>
                <w:sz w:val="21"/>
                <w:szCs w:val="21"/>
              </w:rPr>
              <w:t>邹为</w:t>
            </w:r>
            <w:r>
              <w:rPr>
                <w:rFonts w:ascii="Times New Roman" w:hAnsi="Times New Roman" w:cs="Times New Roman"/>
                <w:color w:val="333333"/>
                <w:sz w:val="21"/>
                <w:szCs w:val="21"/>
              </w:rPr>
              <w:fldChar w:fldCharType="end"/>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社会保障研究</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2023.5</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11</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新就业形态劳动者纳入职工医疗保险的现实困境与质量提升路径</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fldChar w:fldCharType="begin"/>
            </w:r>
            <w:r>
              <w:instrText xml:space="preserve"> HYPERLINK "https://kns.cnki.net/kcms2/author/detail?v=w1Je9LIFm5Cix2aQjTnERNoyuBavbCtK3nIDxnJpkGn6yUfvOgzCKz95Tt_9Wii4aXFpcwqzBnwA6eZYyJfeOCVGW103KNq8ahjZsSXcrDPAbVHZ8z1XfEdcbVzfljgE&amp;uniplatform=NZKPT&amp;language=CHS" \t "knet" </w:instrText>
            </w:r>
            <w:r>
              <w:fldChar w:fldCharType="separate"/>
            </w:r>
            <w:r>
              <w:rPr>
                <w:rFonts w:ascii="Times New Roman" w:hAnsi="Times New Roman" w:cs="Times New Roman"/>
                <w:color w:val="333333"/>
                <w:sz w:val="21"/>
                <w:szCs w:val="21"/>
              </w:rPr>
              <w:t>崔开昌</w:t>
            </w:r>
            <w:r>
              <w:rPr>
                <w:rFonts w:ascii="Times New Roman" w:hAnsi="Times New Roman" w:cs="Times New Roman"/>
                <w:color w:val="333333"/>
                <w:sz w:val="21"/>
                <w:szCs w:val="21"/>
              </w:rPr>
              <w:fldChar w:fldCharType="end"/>
            </w:r>
            <w:r>
              <w:rPr>
                <w:rFonts w:ascii="Times New Roman" w:hAnsi="Times New Roman" w:cs="Times New Roman"/>
                <w:color w:val="333333"/>
                <w:sz w:val="21"/>
                <w:szCs w:val="21"/>
              </w:rPr>
              <w:t>;</w:t>
            </w:r>
            <w:r>
              <w:fldChar w:fldCharType="begin"/>
            </w:r>
            <w:r>
              <w:instrText xml:space="preserve"> HYPERLINK "https://kns.cnki.net/kcms2/author/detail?v=w1Je9LIFm5Cix2aQjTnERNoyuBavbCtKptDXCLRyumj1OVd90XXDAmRgOTSsJijR50YGDY9HZjarknRqIReOOvcPdicYpeoP1ZgxogL6K5pQ2NFtbzJOig==&amp;uniplatform=NZKPT&amp;language=CHS" \t "knet" </w:instrText>
            </w:r>
            <w:r>
              <w:fldChar w:fldCharType="separate"/>
            </w:r>
            <w:r>
              <w:rPr>
                <w:rFonts w:ascii="Times New Roman" w:hAnsi="Times New Roman" w:cs="Times New Roman"/>
                <w:color w:val="333333"/>
                <w:sz w:val="21"/>
                <w:szCs w:val="21"/>
              </w:rPr>
              <w:t>毋璠</w:t>
            </w:r>
            <w:r>
              <w:rPr>
                <w:rFonts w:ascii="Times New Roman" w:hAnsi="Times New Roman" w:cs="Times New Roman"/>
                <w:color w:val="333333"/>
                <w:sz w:val="21"/>
                <w:szCs w:val="21"/>
              </w:rPr>
              <w:fldChar w:fldCharType="end"/>
            </w:r>
            <w:r>
              <w:rPr>
                <w:rFonts w:ascii="Times New Roman" w:hAnsi="Times New Roman" w:cs="Times New Roman"/>
                <w:color w:val="333333"/>
                <w:sz w:val="21"/>
                <w:szCs w:val="21"/>
              </w:rPr>
              <w:t>;汪鸿柱</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宏观质量研究</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2023.11</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12</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基于语义网的电网工程BIM模型完备性审查方法</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fldChar w:fldCharType="begin"/>
            </w:r>
            <w:r>
              <w:instrText xml:space="preserve"> HYPERLINK "https://kns.cnki.net/kcms2/author/detail?v=w1Je9LIFm5AEp1ZOkW07Io1umsfwYRAzU4G3EorfHQf2Gt6RKzZYnfBMv8ZtAu6bsPOFTC_UW1rrX689fSTNLrD5hKWVpDUUnFCXHPxSVHXjo0R29krwjOlr1xuIwubZ&amp;uniplatform=NZKPT&amp;language=CHS" \t "knet" </w:instrText>
            </w:r>
            <w:r>
              <w:fldChar w:fldCharType="separate"/>
            </w:r>
            <w:r>
              <w:rPr>
                <w:rFonts w:ascii="Times New Roman" w:hAnsi="Times New Roman" w:cs="Times New Roman"/>
                <w:color w:val="333333"/>
                <w:sz w:val="21"/>
                <w:szCs w:val="21"/>
              </w:rPr>
              <w:t>潘泽宇</w:t>
            </w:r>
            <w:r>
              <w:rPr>
                <w:rFonts w:ascii="Times New Roman" w:hAnsi="Times New Roman" w:cs="Times New Roman"/>
                <w:color w:val="333333"/>
                <w:sz w:val="21"/>
                <w:szCs w:val="21"/>
              </w:rPr>
              <w:fldChar w:fldCharType="end"/>
            </w:r>
            <w:r>
              <w:rPr>
                <w:rFonts w:ascii="Times New Roman" w:hAnsi="Times New Roman" w:cs="Times New Roman"/>
                <w:color w:val="333333"/>
                <w:sz w:val="21"/>
                <w:szCs w:val="21"/>
              </w:rPr>
              <w:t>;</w:t>
            </w:r>
            <w:r>
              <w:fldChar w:fldCharType="begin"/>
            </w:r>
            <w:r>
              <w:instrText xml:space="preserve"> HYPERLINK "https://kns.cnki.net/kcms2/author/detail?v=w1Je9LIFm5AEp1ZOkW07Io1umsfwYRAz9biXWwjZiieF3tCBsCa3L0ZSegaIsxyHQ1BT-9t5zA2OwYiFtpjX7PwfLwMP0t-62GfoYoRz75Msfd-V7Z8ujcgi9hF4PV6S&amp;uniplatform=NZKPT&amp;language=CHS" \t "knet" </w:instrText>
            </w:r>
            <w:r>
              <w:fldChar w:fldCharType="separate"/>
            </w:r>
            <w:r>
              <w:rPr>
                <w:rFonts w:ascii="Times New Roman" w:hAnsi="Times New Roman" w:cs="Times New Roman"/>
                <w:color w:val="333333"/>
                <w:sz w:val="21"/>
                <w:szCs w:val="21"/>
              </w:rPr>
              <w:t>史健勇</w:t>
            </w:r>
            <w:r>
              <w:rPr>
                <w:rFonts w:ascii="Times New Roman" w:hAnsi="Times New Roman" w:cs="Times New Roman"/>
                <w:color w:val="333333"/>
                <w:sz w:val="21"/>
                <w:szCs w:val="21"/>
              </w:rPr>
              <w:fldChar w:fldCharType="end"/>
            </w:r>
            <w:r>
              <w:rPr>
                <w:rFonts w:ascii="Times New Roman" w:hAnsi="Times New Roman" w:cs="Times New Roman"/>
                <w:color w:val="333333"/>
                <w:sz w:val="21"/>
                <w:szCs w:val="21"/>
              </w:rPr>
              <w:t>;</w:t>
            </w:r>
            <w:r>
              <w:fldChar w:fldCharType="begin"/>
            </w:r>
            <w:r>
              <w:instrText xml:space="preserve"> HYPERLINK "https://kns.cnki.net/kcms2/author/detail?v=w1Je9LIFm5AEp1ZOkW07Io1umsfwYRAzVQBiBHU3cb_2mQA9jCGoheUe_ysdERDUnAx3OtIhwLPHBzxnBZ2EuW2KeX6_TqSc1boM5U6BXP378nMhbqWH8Q==&amp;uniplatform=NZKPT&amp;language=CHS" \t "knet" </w:instrText>
            </w:r>
            <w:r>
              <w:fldChar w:fldCharType="separate"/>
            </w:r>
            <w:r>
              <w:rPr>
                <w:rFonts w:ascii="Times New Roman" w:hAnsi="Times New Roman" w:cs="Times New Roman"/>
                <w:color w:val="333333"/>
                <w:sz w:val="21"/>
                <w:szCs w:val="21"/>
              </w:rPr>
              <w:t>姜柳</w:t>
            </w:r>
            <w:r>
              <w:rPr>
                <w:rFonts w:ascii="Times New Roman" w:hAnsi="Times New Roman" w:cs="Times New Roman"/>
                <w:color w:val="333333"/>
                <w:sz w:val="21"/>
                <w:szCs w:val="21"/>
              </w:rPr>
              <w:fldChar w:fldCharType="end"/>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图学学报</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2023.6</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13</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基于集成学习的结构地震动响应预测方法研究</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fldChar w:fldCharType="begin"/>
            </w:r>
            <w:r>
              <w:instrText xml:space="preserve"> HYPERLINK "https://kns.cnki.net/kcms2/author/detail?v=w1Je9LIFm5BKFM6saaHOX37lR3QWyJlvUzTAZwhaibZEQhiK8ZCsoD9i5D04WL6dc8rh6-39Ft2ZfwOBDpgW6t6DWVctbezzlfngmu_WXIeGJ942QHHWuw==&amp;uniplatform=NZKPT&amp;language=CHS" \t "knet" </w:instrText>
            </w:r>
            <w:r>
              <w:fldChar w:fldCharType="separate"/>
            </w:r>
            <w:r>
              <w:rPr>
                <w:rFonts w:ascii="Times New Roman" w:hAnsi="Times New Roman" w:cs="Times New Roman"/>
                <w:color w:val="333333"/>
                <w:sz w:val="21"/>
                <w:szCs w:val="21"/>
              </w:rPr>
              <w:t>安超</w:t>
            </w:r>
            <w:r>
              <w:rPr>
                <w:rFonts w:ascii="Times New Roman" w:hAnsi="Times New Roman" w:cs="Times New Roman"/>
                <w:color w:val="333333"/>
                <w:sz w:val="21"/>
                <w:szCs w:val="21"/>
              </w:rPr>
              <w:fldChar w:fldCharType="end"/>
            </w:r>
            <w:r>
              <w:rPr>
                <w:rFonts w:ascii="Times New Roman" w:hAnsi="Times New Roman" w:cs="Times New Roman"/>
                <w:color w:val="333333"/>
                <w:sz w:val="21"/>
                <w:szCs w:val="21"/>
              </w:rPr>
              <w:t>;</w:t>
            </w:r>
            <w:r>
              <w:fldChar w:fldCharType="begin"/>
            </w:r>
            <w:r>
              <w:instrText xml:space="preserve"> HYPERLINK "https://kns.cnki.net/kcms2/author/detail?v=w1Je9LIFm5BKFM6saaHOX37lR3QWyJlvbvgHMXBm-1UERVLx8-muSQ_KjS1Z9IA9mb7o-ldMC-iFlS0YLCSQ13uxv-ax9qPnwKKyRkGupnPcHXlhHnDfemZeW9TYQrI5&amp;uniplatform=NZKPT&amp;language=CHS" \t "knet" </w:instrText>
            </w:r>
            <w:r>
              <w:fldChar w:fldCharType="separate"/>
            </w:r>
            <w:r>
              <w:rPr>
                <w:rFonts w:ascii="Times New Roman" w:hAnsi="Times New Roman" w:cs="Times New Roman"/>
                <w:color w:val="333333"/>
                <w:sz w:val="21"/>
                <w:szCs w:val="21"/>
              </w:rPr>
              <w:t>史健勇</w:t>
            </w:r>
            <w:r>
              <w:rPr>
                <w:rFonts w:ascii="Times New Roman" w:hAnsi="Times New Roman" w:cs="Times New Roman"/>
                <w:color w:val="333333"/>
                <w:sz w:val="21"/>
                <w:szCs w:val="21"/>
              </w:rPr>
              <w:fldChar w:fldCharType="end"/>
            </w:r>
            <w:r>
              <w:rPr>
                <w:rFonts w:ascii="Times New Roman" w:hAnsi="Times New Roman" w:cs="Times New Roman"/>
                <w:color w:val="333333"/>
                <w:sz w:val="21"/>
                <w:szCs w:val="21"/>
              </w:rPr>
              <w:t>;潘泽宇;</w:t>
            </w:r>
            <w:r>
              <w:fldChar w:fldCharType="begin"/>
            </w:r>
            <w:r>
              <w:instrText xml:space="preserve"> HYPERLINK "https://kns.cnki.net/kcms2/author/detail?v=w1Je9LIFm5BKFM6saaHOX37lR3QWyJlvyq_LdfwXKCuh7D7N-OYkzarbLoa_Otue74SrMMWfWLuPTNczIrCrQGWvNPqAuveOotXvkzgGgLuI3PXrkyTibw==&amp;uniplatform=NZKPT&amp;language=CHS" \t "knet" </w:instrText>
            </w:r>
            <w:r>
              <w:fldChar w:fldCharType="separate"/>
            </w:r>
            <w:r>
              <w:rPr>
                <w:rFonts w:ascii="Times New Roman" w:hAnsi="Times New Roman" w:cs="Times New Roman"/>
                <w:color w:val="333333"/>
                <w:sz w:val="21"/>
                <w:szCs w:val="21"/>
              </w:rPr>
              <w:t>姜柳</w:t>
            </w:r>
            <w:r>
              <w:rPr>
                <w:rFonts w:ascii="Times New Roman" w:hAnsi="Times New Roman" w:cs="Times New Roman"/>
                <w:color w:val="333333"/>
                <w:sz w:val="21"/>
                <w:szCs w:val="21"/>
              </w:rPr>
              <w:fldChar w:fldCharType="end"/>
            </w:r>
            <w:r>
              <w:rPr>
                <w:rFonts w:ascii="Times New Roman" w:hAnsi="Times New Roman" w:cs="Times New Roman"/>
                <w:color w:val="333333"/>
                <w:sz w:val="21"/>
                <w:szCs w:val="21"/>
              </w:rPr>
              <w:t>;</w:t>
            </w:r>
            <w:r>
              <w:fldChar w:fldCharType="begin"/>
            </w:r>
            <w:r>
              <w:instrText xml:space="preserve"> HYPERLINK "https://kns.cnki.net/kcms2/author/detail?v=w1Je9LIFm5BKFM6saaHOX37lR3QWyJlvUX6mh064M5u3X4lKi-X2vG6EvD_hkUhIvpovCOzAobXPHajXb5eUFm4SYcnuhjAw7Xxcdt3XyNgZpoSMSRvXJM4lbPzf73F0&amp;uniplatform=NZKPT&amp;language=CHS" \t "knet" </w:instrText>
            </w:r>
            <w:r>
              <w:fldChar w:fldCharType="separate"/>
            </w:r>
            <w:r>
              <w:rPr>
                <w:rFonts w:ascii="Times New Roman" w:hAnsi="Times New Roman" w:cs="Times New Roman"/>
                <w:color w:val="333333"/>
                <w:sz w:val="21"/>
                <w:szCs w:val="21"/>
              </w:rPr>
              <w:t>王佳亮</w:t>
            </w:r>
            <w:r>
              <w:rPr>
                <w:rFonts w:ascii="Times New Roman" w:hAnsi="Times New Roman" w:cs="Times New Roman"/>
                <w:color w:val="333333"/>
                <w:sz w:val="21"/>
                <w:szCs w:val="21"/>
              </w:rPr>
              <w:fldChar w:fldCharType="end"/>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防灾减灾工程学报</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2023.6</w:t>
            </w:r>
          </w:p>
        </w:tc>
      </w:tr>
      <w:tr>
        <w:trPr>
          <w:trHeight w:val="270"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1"/>
                <w:szCs w:val="21"/>
              </w:rPr>
            </w:pPr>
            <w:r>
              <w:rPr>
                <w:rFonts w:hint="eastAsia"/>
                <w:sz w:val="21"/>
                <w:szCs w:val="21"/>
              </w:rPr>
              <w:t>14</w:t>
            </w:r>
          </w:p>
        </w:tc>
        <w:tc>
          <w:tcPr>
            <w:tcW w:w="2131"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Surface acting, emotional exhaustion, career calling and turnover intention among student nurses: A cross-sectional study</w:t>
            </w:r>
          </w:p>
        </w:tc>
        <w:tc>
          <w:tcPr>
            <w:tcW w:w="738"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洪幼娟、刘丽婷等</w:t>
            </w:r>
          </w:p>
        </w:tc>
        <w:tc>
          <w:tcPr>
            <w:tcW w:w="820"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Nurse Education in Practice</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是</w:t>
            </w:r>
          </w:p>
        </w:tc>
        <w:tc>
          <w:tcPr>
            <w:tcW w:w="573" w:type="pct"/>
            <w:tcBorders>
              <w:top w:val="single" w:color="auto" w:sz="4" w:space="0"/>
              <w:left w:val="nil"/>
              <w:bottom w:val="single" w:color="auto" w:sz="4" w:space="0"/>
              <w:right w:val="single" w:color="auto" w:sz="4" w:space="0"/>
            </w:tcBorders>
            <w:shd w:val="clear" w:color="auto" w:fill="auto"/>
            <w:noWrap/>
            <w:vAlign w:val="center"/>
          </w:tcPr>
          <w:p>
            <w:pPr>
              <w:rPr>
                <w:rFonts w:ascii="Times New Roman" w:hAnsi="Times New Roman" w:cs="Times New Roman"/>
                <w:sz w:val="21"/>
                <w:szCs w:val="21"/>
                <w:lang w:bidi="ar"/>
              </w:rPr>
            </w:pPr>
            <w:r>
              <w:rPr>
                <w:rFonts w:ascii="Times New Roman" w:hAnsi="Times New Roman" w:cs="Times New Roman"/>
                <w:sz w:val="21"/>
                <w:szCs w:val="21"/>
                <w:lang w:bidi="ar"/>
              </w:rPr>
              <w:t>2023.4</w:t>
            </w:r>
          </w:p>
        </w:tc>
      </w:tr>
    </w:tbl>
    <w:p>
      <w:pPr>
        <w:shd w:val="clear" w:color="auto" w:fill="FFFFFF"/>
        <w:spacing w:line="400" w:lineRule="exact"/>
        <w:ind w:firstLine="964" w:firstLineChars="400"/>
        <w:jc w:val="center"/>
        <w:rPr>
          <w:rFonts w:ascii="Times New Roman" w:hAnsi="Times New Roman"/>
          <w:b/>
          <w:bCs/>
          <w:color w:val="333333"/>
        </w:rPr>
      </w:pPr>
    </w:p>
    <w:p>
      <w:pPr>
        <w:shd w:val="clear" w:color="auto" w:fill="FFFFFF"/>
        <w:spacing w:line="400" w:lineRule="exact"/>
        <w:ind w:firstLine="964" w:firstLineChars="400"/>
        <w:jc w:val="center"/>
        <w:rPr>
          <w:rFonts w:ascii="Times New Roman" w:hAnsi="Times New Roman"/>
          <w:b/>
          <w:bCs/>
          <w:color w:val="333333"/>
        </w:rPr>
      </w:pPr>
    </w:p>
    <w:p>
      <w:pPr>
        <w:shd w:val="clear" w:color="auto" w:fill="FFFFFF"/>
        <w:spacing w:line="400" w:lineRule="exact"/>
        <w:ind w:firstLine="964" w:firstLineChars="400"/>
        <w:jc w:val="center"/>
        <w:rPr>
          <w:rFonts w:ascii="Times New Roman" w:hAnsi="Times New Roman"/>
          <w:b/>
          <w:bCs/>
          <w:color w:val="333333"/>
        </w:rPr>
      </w:pPr>
      <w:r>
        <w:rPr>
          <w:rFonts w:hint="eastAsia" w:ascii="Times New Roman" w:hAnsi="Times New Roman"/>
          <w:b/>
          <w:bCs/>
          <w:color w:val="333333"/>
        </w:rPr>
        <w:t>2022-2023学年本专业</w:t>
      </w:r>
      <w:r>
        <w:rPr>
          <w:rFonts w:ascii="Times New Roman" w:hAnsi="Times New Roman"/>
          <w:b/>
          <w:bCs/>
          <w:color w:val="333333"/>
        </w:rPr>
        <w:t>获各级科研项目及专利</w:t>
      </w:r>
    </w:p>
    <w:tbl>
      <w:tblPr>
        <w:tblStyle w:val="18"/>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701"/>
        <w:gridCol w:w="1301"/>
        <w:gridCol w:w="1507"/>
        <w:gridCol w:w="1587"/>
        <w:gridCol w:w="850"/>
        <w:gridCol w:w="1139"/>
      </w:tblGrid>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序号</w:t>
            </w:r>
          </w:p>
        </w:tc>
        <w:tc>
          <w:tcPr>
            <w:tcW w:w="1701" w:type="dxa"/>
            <w:vAlign w:val="center"/>
          </w:tcPr>
          <w:p>
            <w:pPr>
              <w:shd w:val="clear" w:color="auto" w:fill="FFFFFF"/>
              <w:spacing w:after="156" w:afterLines="50" w:line="360" w:lineRule="auto"/>
              <w:ind w:firstLine="420" w:firstLineChars="200"/>
              <w:rPr>
                <w:rFonts w:ascii="Times New Roman" w:hAnsi="Times New Roman" w:cs="Times New Roman"/>
                <w:color w:val="333333"/>
                <w:sz w:val="21"/>
                <w:szCs w:val="21"/>
              </w:rPr>
            </w:pPr>
            <w:r>
              <w:rPr>
                <w:rFonts w:hint="eastAsia" w:ascii="Times New Roman" w:hAnsi="Times New Roman" w:cs="Times New Roman"/>
                <w:color w:val="333333"/>
                <w:sz w:val="21"/>
                <w:szCs w:val="21"/>
              </w:rPr>
              <w:t>名称</w:t>
            </w:r>
          </w:p>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（下达编号）</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来源</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类别</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起讫时间</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负责人</w:t>
            </w:r>
          </w:p>
        </w:tc>
        <w:tc>
          <w:tcPr>
            <w:tcW w:w="1139" w:type="dxa"/>
            <w:vAlign w:val="center"/>
          </w:tcPr>
          <w:p>
            <w:pPr>
              <w:shd w:val="clear" w:color="auto" w:fill="FFFFFF"/>
              <w:spacing w:after="156" w:afterLines="50" w:line="360" w:lineRule="auto"/>
              <w:ind w:firstLine="210" w:firstLineChars="100"/>
              <w:rPr>
                <w:rFonts w:ascii="Times New Roman" w:hAnsi="Times New Roman" w:cs="Times New Roman"/>
                <w:color w:val="333333"/>
                <w:sz w:val="21"/>
                <w:szCs w:val="21"/>
              </w:rPr>
            </w:pPr>
            <w:r>
              <w:rPr>
                <w:rFonts w:hint="eastAsia" w:ascii="Times New Roman" w:hAnsi="Times New Roman" w:cs="Times New Roman"/>
                <w:color w:val="333333"/>
                <w:sz w:val="21"/>
                <w:szCs w:val="21"/>
              </w:rPr>
              <w:t>经费</w:t>
            </w:r>
          </w:p>
          <w:p>
            <w:pPr>
              <w:shd w:val="clear" w:color="auto" w:fill="FFFFFF"/>
              <w:spacing w:after="156" w:afterLines="50" w:line="360" w:lineRule="auto"/>
              <w:rPr>
                <w:rFonts w:ascii="Times New Roman" w:hAnsi="Times New Roman" w:cs="Times New Roman"/>
                <w:color w:val="333333"/>
                <w:sz w:val="21"/>
                <w:szCs w:val="21"/>
              </w:rPr>
            </w:pPr>
            <w:r>
              <w:rPr>
                <w:rFonts w:hint="eastAsia" w:ascii="Times New Roman" w:hAnsi="Times New Roman" w:cs="Times New Roman"/>
                <w:color w:val="333333"/>
                <w:sz w:val="21"/>
                <w:szCs w:val="21"/>
              </w:rPr>
              <w:t>（万元）</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健康中国建设的理论、路径及实践模式研究</w:t>
            </w:r>
          </w:p>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w:t>
            </w:r>
            <w:r>
              <w:rPr>
                <w:rFonts w:ascii="Times New Roman" w:hAnsi="Times New Roman" w:cs="Times New Roman"/>
                <w:color w:val="333333"/>
                <w:sz w:val="21"/>
                <w:szCs w:val="21"/>
              </w:rPr>
              <w:t>20BJY014</w:t>
            </w:r>
            <w:r>
              <w:rPr>
                <w:rFonts w:hint="eastAsia" w:ascii="Times New Roman" w:hAnsi="Times New Roman" w:cs="Times New Roman"/>
                <w:color w:val="333333"/>
                <w:sz w:val="21"/>
                <w:szCs w:val="21"/>
              </w:rPr>
              <w:t>）</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国家社会科学基金</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国家社会科学基金一般项目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2020.09-2023.09</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史健勇</w:t>
            </w:r>
          </w:p>
        </w:tc>
        <w:tc>
          <w:tcPr>
            <w:tcW w:w="1139" w:type="dxa"/>
            <w:vAlign w:val="center"/>
          </w:tcPr>
          <w:p>
            <w:pPr>
              <w:shd w:val="clear" w:color="auto" w:fill="FFFFFF"/>
              <w:spacing w:after="156" w:afterLines="50" w:line="360" w:lineRule="auto"/>
              <w:ind w:left="-29" w:leftChars="-95" w:hanging="199" w:hangingChars="95"/>
              <w:jc w:val="center"/>
              <w:rPr>
                <w:rFonts w:ascii="Times New Roman" w:hAnsi="Times New Roman" w:cs="Times New Roman"/>
                <w:color w:val="333333"/>
                <w:sz w:val="21"/>
                <w:szCs w:val="21"/>
              </w:rPr>
            </w:pPr>
            <w:r>
              <w:rPr>
                <w:rFonts w:ascii="Times New Roman" w:hAnsi="Times New Roman" w:cs="Times New Roman"/>
                <w:color w:val="333333"/>
                <w:sz w:val="21"/>
                <w:szCs w:val="21"/>
              </w:rPr>
              <w:t>20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2</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全面推进健康中国建设的作用机制、实施效应及优化路径研究</w:t>
            </w:r>
          </w:p>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w:t>
            </w:r>
            <w:r>
              <w:rPr>
                <w:rFonts w:ascii="Times New Roman" w:hAnsi="Times New Roman" w:cs="Times New Roman"/>
                <w:color w:val="333333"/>
                <w:sz w:val="21"/>
                <w:szCs w:val="21"/>
              </w:rPr>
              <w:t>22ZDA097</w:t>
            </w:r>
            <w:r>
              <w:rPr>
                <w:rFonts w:hint="eastAsia" w:ascii="Times New Roman" w:hAnsi="Times New Roman" w:cs="Times New Roman"/>
                <w:color w:val="333333"/>
                <w:sz w:val="21"/>
                <w:szCs w:val="21"/>
              </w:rPr>
              <w:t>）</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国家社会科学基金</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国家社会科学基金重大项目子课题</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2023-2026</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史健勇</w:t>
            </w:r>
          </w:p>
        </w:tc>
        <w:tc>
          <w:tcPr>
            <w:tcW w:w="1139" w:type="dxa"/>
            <w:vAlign w:val="center"/>
          </w:tcPr>
          <w:p>
            <w:pPr>
              <w:shd w:val="clear" w:color="auto" w:fill="FFFFFF"/>
              <w:spacing w:after="156" w:afterLines="50" w:line="360" w:lineRule="auto"/>
              <w:ind w:left="-29" w:leftChars="-95" w:hanging="199" w:hangingChars="95"/>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6</w:t>
            </w:r>
            <w:r>
              <w:rPr>
                <w:rFonts w:ascii="Times New Roman" w:hAnsi="Times New Roman" w:cs="Times New Roman"/>
                <w:color w:val="333333"/>
                <w:sz w:val="21"/>
                <w:szCs w:val="21"/>
              </w:rPr>
              <w:t>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3</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社会保障专题研究</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省部级项目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2021-2023</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史健勇</w:t>
            </w:r>
          </w:p>
        </w:tc>
        <w:tc>
          <w:tcPr>
            <w:tcW w:w="1139" w:type="dxa"/>
            <w:vAlign w:val="center"/>
          </w:tcPr>
          <w:p>
            <w:pPr>
              <w:shd w:val="clear" w:color="auto" w:fill="FFFFFF"/>
              <w:spacing w:after="156" w:afterLines="50" w:line="360" w:lineRule="auto"/>
              <w:ind w:left="-29" w:leftChars="-95" w:hanging="199" w:hangingChars="95"/>
              <w:jc w:val="center"/>
              <w:rPr>
                <w:rFonts w:ascii="Times New Roman" w:hAnsi="Times New Roman" w:cs="Times New Roman"/>
                <w:color w:val="333333"/>
                <w:sz w:val="21"/>
                <w:szCs w:val="21"/>
              </w:rPr>
            </w:pPr>
            <w:r>
              <w:rPr>
                <w:rFonts w:ascii="Times New Roman" w:hAnsi="Times New Roman" w:cs="Times New Roman"/>
                <w:color w:val="333333"/>
                <w:sz w:val="21"/>
                <w:szCs w:val="21"/>
              </w:rPr>
              <w:t>150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4</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上海直报点专题研究</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省部级项目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2021-2023</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史健勇</w:t>
            </w:r>
          </w:p>
        </w:tc>
        <w:tc>
          <w:tcPr>
            <w:tcW w:w="1139" w:type="dxa"/>
            <w:vAlign w:val="center"/>
          </w:tcPr>
          <w:p>
            <w:pPr>
              <w:shd w:val="clear" w:color="auto" w:fill="FFFFFF"/>
              <w:spacing w:after="156" w:afterLines="50" w:line="360" w:lineRule="auto"/>
              <w:ind w:left="-29" w:leftChars="-95" w:hanging="199" w:hangingChars="95"/>
              <w:jc w:val="center"/>
              <w:rPr>
                <w:rFonts w:ascii="Times New Roman" w:hAnsi="Times New Roman" w:cs="Times New Roman"/>
                <w:color w:val="333333"/>
                <w:sz w:val="21"/>
                <w:szCs w:val="21"/>
              </w:rPr>
            </w:pPr>
            <w:r>
              <w:rPr>
                <w:rFonts w:ascii="Times New Roman" w:hAnsi="Times New Roman" w:cs="Times New Roman"/>
                <w:color w:val="333333"/>
                <w:sz w:val="21"/>
                <w:szCs w:val="21"/>
              </w:rPr>
              <w:t>150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5</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重度老龄社会的风险识别、防控机制及应对策略研究</w:t>
            </w:r>
          </w:p>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w:t>
            </w:r>
            <w:r>
              <w:rPr>
                <w:rFonts w:ascii="Times New Roman" w:hAnsi="Times New Roman" w:cs="Times New Roman"/>
                <w:color w:val="333333"/>
                <w:sz w:val="21"/>
                <w:szCs w:val="21"/>
              </w:rPr>
              <w:t>23BGL279</w:t>
            </w:r>
            <w:r>
              <w:rPr>
                <w:rFonts w:hint="eastAsia" w:ascii="Times New Roman" w:hAnsi="Times New Roman" w:cs="Times New Roman"/>
                <w:color w:val="333333"/>
                <w:sz w:val="21"/>
                <w:szCs w:val="21"/>
              </w:rPr>
              <w:t>）</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国家社会科学基金</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国家社会科学基金一般项目</w:t>
            </w:r>
          </w:p>
        </w:tc>
        <w:tc>
          <w:tcPr>
            <w:tcW w:w="1587" w:type="dxa"/>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2023.9</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2026.8</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罗娟</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2</w:t>
            </w:r>
            <w:r>
              <w:rPr>
                <w:rFonts w:ascii="Times New Roman" w:hAnsi="Times New Roman" w:cs="Times New Roman"/>
                <w:color w:val="333333"/>
                <w:sz w:val="21"/>
                <w:szCs w:val="21"/>
              </w:rPr>
              <w:t>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6</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优化上海国际高端科技人才长远留存策略研究</w:t>
            </w:r>
          </w:p>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w:t>
            </w:r>
            <w:r>
              <w:rPr>
                <w:rFonts w:ascii="Times New Roman" w:hAnsi="Times New Roman" w:cs="Times New Roman"/>
                <w:color w:val="333333"/>
                <w:sz w:val="21"/>
                <w:szCs w:val="21"/>
              </w:rPr>
              <w:t>23692101800</w:t>
            </w:r>
            <w:r>
              <w:rPr>
                <w:rFonts w:hint="eastAsia" w:ascii="Times New Roman" w:hAnsi="Times New Roman" w:cs="Times New Roman"/>
                <w:color w:val="333333"/>
                <w:sz w:val="21"/>
                <w:szCs w:val="21"/>
              </w:rPr>
              <w:t>）</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科委软科学项目</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2023年科委软科学主题项目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2023.4-2024.4</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罗娟</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2</w:t>
            </w:r>
            <w:r>
              <w:rPr>
                <w:rFonts w:ascii="Times New Roman" w:hAnsi="Times New Roman" w:cs="Times New Roman"/>
                <w:color w:val="333333"/>
                <w:sz w:val="21"/>
                <w:szCs w:val="21"/>
              </w:rPr>
              <w:t>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7</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优抚制度与其他社会保障制度衔接问题研究</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2023-Z-V03-B</w:t>
            </w:r>
            <w:r>
              <w:rPr>
                <w:rFonts w:hint="eastAsia" w:ascii="Times New Roman" w:hAnsi="Times New Roman" w:cs="Times New Roman"/>
                <w:color w:val="333333"/>
                <w:sz w:val="21"/>
                <w:szCs w:val="21"/>
              </w:rPr>
              <w:t>）</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上海市政府</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上海市政府决策咨询一般专项</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2023.8-2023.12</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罗娟</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6</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8</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养老服务护理员培养机制及路径研究</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上海长寿敬老志愿者指导中心</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上海长寿敬老志愿者指导中心项目</w:t>
            </w:r>
          </w:p>
        </w:tc>
        <w:tc>
          <w:tcPr>
            <w:tcW w:w="1587" w:type="dxa"/>
            <w:vAlign w:val="center"/>
          </w:tcPr>
          <w:p>
            <w:pPr>
              <w:shd w:val="clear" w:color="auto" w:fill="FFFFFF"/>
              <w:spacing w:after="156" w:afterLines="50" w:line="360" w:lineRule="auto"/>
              <w:rPr>
                <w:rFonts w:ascii="Times New Roman" w:hAnsi="Times New Roman" w:cs="Times New Roman"/>
                <w:color w:val="333333"/>
                <w:sz w:val="21"/>
                <w:szCs w:val="21"/>
              </w:rPr>
            </w:pPr>
            <w:r>
              <w:rPr>
                <w:rFonts w:ascii="Times New Roman" w:hAnsi="Times New Roman" w:cs="Times New Roman"/>
                <w:color w:val="333333"/>
                <w:sz w:val="21"/>
                <w:szCs w:val="21"/>
              </w:rPr>
              <w:t>2023.5.9</w:t>
            </w:r>
            <w:r>
              <w:rPr>
                <w:rFonts w:hint="eastAsia" w:ascii="Times New Roman" w:hAnsi="Times New Roman" w:cs="Times New Roman"/>
                <w:color w:val="333333"/>
                <w:sz w:val="21"/>
                <w:szCs w:val="21"/>
              </w:rPr>
              <w:t>-</w:t>
            </w:r>
            <w:r>
              <w:rPr>
                <w:rFonts w:ascii="Times New Roman" w:hAnsi="Times New Roman" w:cs="Times New Roman"/>
                <w:color w:val="333333"/>
                <w:sz w:val="21"/>
                <w:szCs w:val="21"/>
              </w:rPr>
              <w:t>2023.12</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罗娟</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14.9</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9</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上海全面提升为老服务水平的思路和举措研究</w:t>
            </w:r>
          </w:p>
          <w:p>
            <w:pPr>
              <w:shd w:val="clear" w:color="auto" w:fill="FFFFFF"/>
              <w:spacing w:after="156" w:afterLines="50" w:line="360" w:lineRule="auto"/>
              <w:rPr>
                <w:rFonts w:ascii="Times New Roman" w:hAnsi="Times New Roman" w:cs="Times New Roman"/>
                <w:color w:val="333333"/>
                <w:sz w:val="21"/>
                <w:szCs w:val="21"/>
              </w:rPr>
            </w:pPr>
            <w:r>
              <w:rPr>
                <w:rFonts w:hint="eastAsia" w:ascii="Times New Roman" w:hAnsi="Times New Roman" w:cs="Times New Roman"/>
                <w:color w:val="333333"/>
                <w:sz w:val="21"/>
                <w:szCs w:val="21"/>
              </w:rPr>
              <w:t>（</w:t>
            </w:r>
            <w:r>
              <w:rPr>
                <w:rFonts w:ascii="Times New Roman" w:hAnsi="Times New Roman" w:cs="Times New Roman"/>
                <w:color w:val="333333"/>
                <w:sz w:val="21"/>
                <w:szCs w:val="21"/>
              </w:rPr>
              <w:t>2023-A-27-B</w:t>
            </w:r>
            <w:r>
              <w:rPr>
                <w:rFonts w:hint="eastAsia" w:ascii="Times New Roman" w:hAnsi="Times New Roman" w:cs="Times New Roman"/>
                <w:color w:val="333333"/>
                <w:sz w:val="21"/>
                <w:szCs w:val="21"/>
              </w:rPr>
              <w:t>）</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上海市人民政府</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上海市人民政府决策咨询研究重大课题</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2023-2024</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罗娟</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r>
              <w:rPr>
                <w:rFonts w:ascii="Times New Roman" w:hAnsi="Times New Roman" w:cs="Times New Roman"/>
                <w:color w:val="333333"/>
                <w:sz w:val="21"/>
                <w:szCs w:val="21"/>
              </w:rPr>
              <w:t>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r>
              <w:rPr>
                <w:rFonts w:ascii="Times New Roman" w:hAnsi="Times New Roman" w:cs="Times New Roman"/>
                <w:color w:val="333333"/>
                <w:sz w:val="21"/>
                <w:szCs w:val="21"/>
              </w:rPr>
              <w:t>0</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发展多层次、多支柱养老保险体系研究</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上海市教委</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上海市教委智库项目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2023-2024</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罗娟</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8</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r>
              <w:rPr>
                <w:rFonts w:ascii="Times New Roman" w:hAnsi="Times New Roman" w:cs="Times New Roman"/>
                <w:color w:val="333333"/>
                <w:sz w:val="21"/>
                <w:szCs w:val="21"/>
              </w:rPr>
              <w:t>1</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新形势下进一步创新海外引才工作研究</w:t>
            </w:r>
          </w:p>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w:t>
            </w:r>
            <w:r>
              <w:rPr>
                <w:rFonts w:ascii="Times New Roman" w:hAnsi="Times New Roman" w:cs="Times New Roman"/>
                <w:color w:val="333333"/>
                <w:sz w:val="21"/>
                <w:szCs w:val="21"/>
              </w:rPr>
              <w:t>2023-AZ-04</w:t>
            </w:r>
            <w:r>
              <w:rPr>
                <w:rFonts w:hint="eastAsia" w:ascii="Times New Roman" w:hAnsi="Times New Roman" w:cs="Times New Roman"/>
                <w:color w:val="333333"/>
                <w:sz w:val="21"/>
                <w:szCs w:val="21"/>
              </w:rPr>
              <w:t>）</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上海市政府</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上海市政府决策咨询重点专项</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2023.6-2023.10</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罗娟</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5</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12</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破解老年人“数字鸿沟”的机制，路径与对策研究</w:t>
            </w:r>
          </w:p>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（21AGL024）</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国家社会科学基金</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国家社会科学基金重点项目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2021.9-2024.8</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崔开昌</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3</w:t>
            </w:r>
            <w:r>
              <w:rPr>
                <w:rFonts w:ascii="Times New Roman" w:hAnsi="Times New Roman" w:cs="Times New Roman"/>
                <w:color w:val="333333"/>
                <w:sz w:val="21"/>
                <w:szCs w:val="21"/>
              </w:rPr>
              <w:t>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13</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基于居家养老的长期护理保险待遇支付标准研究</w:t>
            </w:r>
          </w:p>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（72004129）</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国家自然科学基金</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国家自然科学基金青年项目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2021.1-2023.12</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陈芳芳</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r>
              <w:rPr>
                <w:rFonts w:ascii="Times New Roman" w:hAnsi="Times New Roman" w:cs="Times New Roman"/>
                <w:color w:val="333333"/>
                <w:sz w:val="21"/>
                <w:szCs w:val="21"/>
              </w:rPr>
              <w:t>4</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14</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创造高品质生活，应对上海老龄社会策略研究</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上海市人民政府</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第十四届上海市决策咨询研究成果（二等奖）</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2</w:t>
            </w:r>
            <w:r>
              <w:rPr>
                <w:rFonts w:ascii="Times New Roman" w:hAnsi="Times New Roman" w:cs="Times New Roman"/>
                <w:color w:val="333333"/>
                <w:sz w:val="21"/>
                <w:szCs w:val="21"/>
              </w:rPr>
              <w:t>023</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15</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创新《老年社会工作》课程产教融合协同育人的理论与实践</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全国商科教育实践教学大赛</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课程建设实践教学方案设计大赛一等奖</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2023.8</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王玮等</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16</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独居老人的风险压力、服务需求以及社会支持</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横向</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2023.11.6-2023.11.30</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陈芳芳</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4.9</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r>
              <w:rPr>
                <w:rFonts w:ascii="Times New Roman" w:hAnsi="Times New Roman" w:cs="Times New Roman"/>
                <w:color w:val="333333"/>
                <w:sz w:val="21"/>
                <w:szCs w:val="21"/>
              </w:rPr>
              <w:t>7</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智慧养老</w:t>
            </w:r>
          </w:p>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（0233-A1-0601-23-160131）</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上海工程技术大学</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校级产教融合项目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2022-2023</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崔开昌</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6</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r>
              <w:rPr>
                <w:rFonts w:ascii="Times New Roman" w:hAnsi="Times New Roman" w:cs="Times New Roman"/>
                <w:color w:val="333333"/>
                <w:sz w:val="21"/>
                <w:szCs w:val="21"/>
              </w:rPr>
              <w:t>8</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老年社会工作</w:t>
            </w:r>
          </w:p>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w:t>
            </w:r>
            <w:r>
              <w:rPr>
                <w:rFonts w:ascii="Times New Roman" w:hAnsi="Times New Roman" w:cs="Times New Roman"/>
                <w:color w:val="333333"/>
                <w:sz w:val="21"/>
                <w:szCs w:val="21"/>
              </w:rPr>
              <w:t>0233-A1-0601-23-160419</w:t>
            </w:r>
            <w:r>
              <w:rPr>
                <w:rFonts w:hint="eastAsia" w:ascii="Times New Roman" w:hAnsi="Times New Roman" w:cs="Times New Roman"/>
                <w:color w:val="333333"/>
                <w:sz w:val="21"/>
                <w:szCs w:val="21"/>
              </w:rPr>
              <w:t>）</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上海工程技术大学</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校级产教融合项目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2022-2023</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王玮</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7</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19</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健康管理</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上海工程技术大学</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校级产教融合项目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2022-2023</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罗娟</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8</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养老服务管理概论</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上海工程技术大学</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校级产教融合项目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2022-2023</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史健勇</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9</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21</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老年心理学</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上海工程技术大学</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校级产教融合项目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2022-2023</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刘丽婷</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r>
              <w:rPr>
                <w:rFonts w:ascii="Times New Roman" w:hAnsi="Times New Roman" w:cs="Times New Roman"/>
                <w:color w:val="333333"/>
                <w:sz w:val="21"/>
                <w:szCs w:val="21"/>
              </w:rPr>
              <w:t>0</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22</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老年心理学</w:t>
            </w:r>
          </w:p>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（k202303005）</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上海工程技术大学</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校级教学建设项目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2023-2024</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崔开昌</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p>
        </w:tc>
      </w:tr>
      <w:tr>
        <w:trPr>
          <w:trHeight w:val="454" w:hRule="atLeast"/>
          <w:jc w:val="center"/>
        </w:trPr>
        <w:tc>
          <w:tcPr>
            <w:tcW w:w="562"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23</w:t>
            </w:r>
          </w:p>
        </w:tc>
        <w:tc>
          <w:tcPr>
            <w:tcW w:w="17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养老服务品牌管理</w:t>
            </w:r>
          </w:p>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（k202303006）</w:t>
            </w:r>
          </w:p>
        </w:tc>
        <w:tc>
          <w:tcPr>
            <w:tcW w:w="1301"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上海工程技术大学</w:t>
            </w:r>
          </w:p>
        </w:tc>
        <w:tc>
          <w:tcPr>
            <w:tcW w:w="150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校级教学建设项目</w:t>
            </w:r>
          </w:p>
        </w:tc>
        <w:tc>
          <w:tcPr>
            <w:tcW w:w="1587"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2023-2024</w:t>
            </w:r>
          </w:p>
        </w:tc>
        <w:tc>
          <w:tcPr>
            <w:tcW w:w="850"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ascii="Times New Roman" w:hAnsi="Times New Roman" w:cs="Times New Roman"/>
                <w:color w:val="333333"/>
                <w:sz w:val="21"/>
                <w:szCs w:val="21"/>
              </w:rPr>
              <w:t>陈晓华</w:t>
            </w:r>
          </w:p>
        </w:tc>
        <w:tc>
          <w:tcPr>
            <w:tcW w:w="1139" w:type="dxa"/>
            <w:vAlign w:val="center"/>
          </w:tcPr>
          <w:p>
            <w:pPr>
              <w:shd w:val="clear" w:color="auto" w:fill="FFFFFF"/>
              <w:spacing w:after="156" w:afterLines="50" w:line="360" w:lineRule="auto"/>
              <w:jc w:val="center"/>
              <w:rPr>
                <w:rFonts w:ascii="Times New Roman" w:hAnsi="Times New Roman" w:cs="Times New Roman"/>
                <w:color w:val="333333"/>
                <w:sz w:val="21"/>
                <w:szCs w:val="21"/>
              </w:rPr>
            </w:pPr>
            <w:r>
              <w:rPr>
                <w:rFonts w:hint="eastAsia" w:ascii="Times New Roman" w:hAnsi="Times New Roman" w:cs="Times New Roman"/>
                <w:color w:val="333333"/>
                <w:sz w:val="21"/>
                <w:szCs w:val="21"/>
              </w:rPr>
              <w:t>1</w:t>
            </w:r>
          </w:p>
        </w:tc>
      </w:tr>
    </w:tbl>
    <w:p/>
    <w:p>
      <w:pPr>
        <w:pStyle w:val="3"/>
        <w:pageBreakBefore/>
        <w:spacing w:after="120" w:line="415" w:lineRule="auto"/>
        <w:jc w:val="left"/>
        <w:rPr>
          <w:rFonts w:ascii="宋体" w:hAnsi="宋体"/>
          <w:sz w:val="28"/>
          <w:szCs w:val="28"/>
        </w:rPr>
      </w:pPr>
      <w:bookmarkStart w:id="73" w:name="_Toc154735782"/>
      <w:r>
        <w:rPr>
          <w:rFonts w:ascii="宋体" w:hAnsi="宋体"/>
          <w:sz w:val="28"/>
          <w:szCs w:val="28"/>
        </w:rPr>
        <w:t>5.支持条件</w:t>
      </w:r>
      <w:bookmarkEnd w:id="73"/>
      <w:r>
        <w:rPr>
          <w:rFonts w:ascii="宋体" w:hAnsi="宋体"/>
          <w:sz w:val="28"/>
          <w:szCs w:val="28"/>
        </w:rPr>
        <w:t xml:space="preserve"> </w:t>
      </w:r>
    </w:p>
    <w:p>
      <w:pPr>
        <w:pStyle w:val="4"/>
        <w:rPr>
          <w:rFonts w:ascii="宋体" w:hAnsi="宋体" w:eastAsia="宋体"/>
          <w:b w:val="0"/>
          <w:bCs w:val="0"/>
          <w:sz w:val="24"/>
          <w:szCs w:val="24"/>
        </w:rPr>
      </w:pPr>
      <w:bookmarkStart w:id="74" w:name="_Toc154735783"/>
      <w:r>
        <w:rPr>
          <w:rFonts w:ascii="宋体" w:hAnsi="宋体" w:eastAsia="宋体"/>
          <w:b w:val="0"/>
          <w:bCs w:val="0"/>
          <w:sz w:val="24"/>
          <w:szCs w:val="24"/>
        </w:rPr>
        <w:t>5.1学校生均教学经费情况</w:t>
      </w:r>
      <w:bookmarkEnd w:id="74"/>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专业教学经费由教学日常运行支出</w:t>
      </w:r>
      <w:r>
        <w:rPr>
          <w:rFonts w:hint="eastAsia" w:ascii="仿宋" w:hAnsi="仿宋" w:eastAsia="仿宋" w:cstheme="minorBidi"/>
          <w:kern w:val="2"/>
        </w:rPr>
        <w:t>、</w:t>
      </w:r>
      <w:r>
        <w:rPr>
          <w:rFonts w:ascii="仿宋" w:hAnsi="仿宋" w:eastAsia="仿宋" w:cstheme="minorBidi"/>
          <w:kern w:val="2"/>
        </w:rPr>
        <w:t>实验经费支出</w:t>
      </w:r>
      <w:r>
        <w:rPr>
          <w:rFonts w:hint="eastAsia" w:ascii="仿宋" w:hAnsi="仿宋" w:eastAsia="仿宋" w:cstheme="minorBidi"/>
          <w:kern w:val="2"/>
        </w:rPr>
        <w:t>和</w:t>
      </w:r>
      <w:r>
        <w:rPr>
          <w:rFonts w:ascii="仿宋" w:hAnsi="仿宋" w:eastAsia="仿宋" w:cstheme="minorBidi"/>
          <w:kern w:val="2"/>
        </w:rPr>
        <w:t>实习经费</w:t>
      </w:r>
      <w:r>
        <w:rPr>
          <w:rFonts w:hint="eastAsia" w:ascii="仿宋" w:hAnsi="仿宋" w:eastAsia="仿宋" w:cstheme="minorBidi"/>
          <w:kern w:val="2"/>
        </w:rPr>
        <w:t>三</w:t>
      </w:r>
      <w:r>
        <w:rPr>
          <w:rFonts w:ascii="仿宋" w:hAnsi="仿宋" w:eastAsia="仿宋" w:cstheme="minorBidi"/>
          <w:kern w:val="2"/>
        </w:rPr>
        <w:t>部分构成。学校每年保证学生的教学经费按时到位，</w:t>
      </w:r>
      <w:r>
        <w:rPr>
          <w:rFonts w:hint="eastAsia" w:ascii="仿宋" w:hAnsi="仿宋" w:eastAsia="仿宋" w:cstheme="minorBidi"/>
          <w:kern w:val="2"/>
        </w:rPr>
        <w:t>用于</w:t>
      </w:r>
      <w:r>
        <w:rPr>
          <w:rFonts w:ascii="仿宋" w:hAnsi="仿宋" w:eastAsia="仿宋" w:cstheme="minorBidi"/>
          <w:kern w:val="2"/>
        </w:rPr>
        <w:t>教学日常运行</w:t>
      </w:r>
      <w:r>
        <w:rPr>
          <w:rFonts w:hint="eastAsia" w:ascii="仿宋" w:hAnsi="仿宋" w:eastAsia="仿宋" w:cstheme="minorBidi"/>
          <w:kern w:val="2"/>
        </w:rPr>
        <w:t>，</w:t>
      </w:r>
      <w:r>
        <w:rPr>
          <w:rFonts w:ascii="仿宋" w:hAnsi="仿宋" w:eastAsia="仿宋" w:cstheme="minorBidi"/>
          <w:kern w:val="2"/>
        </w:rPr>
        <w:t>同时，对于实践环节，划拨专项费用，用以支持学生</w:t>
      </w:r>
      <w:r>
        <w:rPr>
          <w:rFonts w:hint="eastAsia" w:ascii="仿宋" w:hAnsi="仿宋" w:eastAsia="仿宋" w:cstheme="minorBidi"/>
          <w:kern w:val="2"/>
        </w:rPr>
        <w:t>实验和实习</w:t>
      </w:r>
      <w:r>
        <w:rPr>
          <w:rFonts w:ascii="仿宋" w:hAnsi="仿宋" w:eastAsia="仿宋" w:cstheme="minorBidi"/>
          <w:kern w:val="2"/>
        </w:rPr>
        <w:t>等。每学年学校分配给本专业</w:t>
      </w:r>
      <w:r>
        <w:rPr>
          <w:rFonts w:hint="eastAsia" w:ascii="仿宋" w:hAnsi="仿宋" w:eastAsia="仿宋" w:cstheme="minorBidi"/>
          <w:kern w:val="2"/>
        </w:rPr>
        <w:t>生均教学</w:t>
      </w:r>
      <w:r>
        <w:rPr>
          <w:rFonts w:ascii="仿宋" w:hAnsi="仿宋" w:eastAsia="仿宋" w:cstheme="minorBidi"/>
          <w:kern w:val="2"/>
        </w:rPr>
        <w:t>经费约</w:t>
      </w:r>
      <w:r>
        <w:rPr>
          <w:rFonts w:hint="eastAsia" w:ascii="仿宋" w:hAnsi="仿宋" w:eastAsia="仿宋" w:cstheme="minorBidi"/>
          <w:kern w:val="2"/>
        </w:rPr>
        <w:t>6500</w:t>
      </w:r>
      <w:r>
        <w:rPr>
          <w:rFonts w:ascii="仿宋" w:hAnsi="仿宋" w:eastAsia="仿宋" w:cstheme="minorBidi"/>
          <w:kern w:val="2"/>
        </w:rPr>
        <w:t>元，</w:t>
      </w:r>
      <w:r>
        <w:rPr>
          <w:rFonts w:hint="eastAsia" w:ascii="仿宋" w:hAnsi="仿宋" w:eastAsia="仿宋" w:cstheme="minorBidi"/>
          <w:kern w:val="2"/>
        </w:rPr>
        <w:t>其中，</w:t>
      </w:r>
      <w:r>
        <w:rPr>
          <w:rFonts w:ascii="仿宋" w:hAnsi="仿宋" w:eastAsia="仿宋" w:cstheme="minorBidi"/>
          <w:kern w:val="2"/>
        </w:rPr>
        <w:t>生均日常教学经费标准约为506</w:t>
      </w:r>
      <w:r>
        <w:rPr>
          <w:rFonts w:hint="eastAsia" w:ascii="仿宋" w:hAnsi="仿宋" w:eastAsia="仿宋" w:cstheme="minorBidi"/>
          <w:kern w:val="2"/>
        </w:rPr>
        <w:t>8.5</w:t>
      </w:r>
      <w:r>
        <w:rPr>
          <w:rFonts w:ascii="仿宋" w:hAnsi="仿宋" w:eastAsia="仿宋" w:cstheme="minorBidi"/>
          <w:kern w:val="2"/>
        </w:rPr>
        <w:t>元，生均实验经费约为101</w:t>
      </w:r>
      <w:r>
        <w:rPr>
          <w:rFonts w:hint="eastAsia" w:ascii="仿宋" w:hAnsi="仿宋" w:eastAsia="仿宋" w:cstheme="minorBidi"/>
          <w:kern w:val="2"/>
        </w:rPr>
        <w:t>7.74</w:t>
      </w:r>
      <w:r>
        <w:rPr>
          <w:rFonts w:ascii="仿宋" w:hAnsi="仿宋" w:eastAsia="仿宋" w:cstheme="minorBidi"/>
          <w:kern w:val="2"/>
        </w:rPr>
        <w:t>元，生均实习经费约为41</w:t>
      </w:r>
      <w:r>
        <w:rPr>
          <w:rFonts w:hint="eastAsia" w:ascii="仿宋" w:hAnsi="仿宋" w:eastAsia="仿宋" w:cstheme="minorBidi"/>
          <w:kern w:val="2"/>
        </w:rPr>
        <w:t>0.89</w:t>
      </w:r>
      <w:r>
        <w:rPr>
          <w:rFonts w:ascii="仿宋" w:hAnsi="仿宋" w:eastAsia="仿宋" w:cstheme="minorBidi"/>
          <w:kern w:val="2"/>
        </w:rPr>
        <w:t>元，完全可以满足教学需求。</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5"/>
        <w:gridCol w:w="4731"/>
      </w:tblGrid>
      <w:tr>
        <w:tc>
          <w:tcPr>
            <w:tcW w:w="3565" w:type="dxa"/>
            <w:vAlign w:val="center"/>
          </w:tcPr>
          <w:p>
            <w:pPr>
              <w:jc w:val="center"/>
              <w:rPr>
                <w:sz w:val="21"/>
                <w:szCs w:val="21"/>
              </w:rPr>
            </w:pPr>
            <w:r>
              <w:rPr>
                <w:rFonts w:hint="eastAsia"/>
                <w:sz w:val="21"/>
                <w:szCs w:val="21"/>
              </w:rPr>
              <w:t>项目</w:t>
            </w:r>
          </w:p>
        </w:tc>
        <w:tc>
          <w:tcPr>
            <w:tcW w:w="4731" w:type="dxa"/>
            <w:vAlign w:val="center"/>
          </w:tcPr>
          <w:p>
            <w:pPr>
              <w:jc w:val="center"/>
              <w:rPr>
                <w:sz w:val="21"/>
                <w:szCs w:val="21"/>
              </w:rPr>
            </w:pPr>
            <w:r>
              <w:rPr>
                <w:sz w:val="21"/>
                <w:szCs w:val="21"/>
              </w:rPr>
              <w:t>经费（元）</w:t>
            </w:r>
          </w:p>
        </w:tc>
      </w:tr>
      <w:tr>
        <w:tc>
          <w:tcPr>
            <w:tcW w:w="3565" w:type="dxa"/>
            <w:vAlign w:val="center"/>
          </w:tcPr>
          <w:p>
            <w:pPr>
              <w:jc w:val="center"/>
              <w:rPr>
                <w:sz w:val="21"/>
                <w:szCs w:val="21"/>
              </w:rPr>
            </w:pPr>
            <w:r>
              <w:rPr>
                <w:rFonts w:hint="eastAsia"/>
                <w:sz w:val="21"/>
                <w:szCs w:val="21"/>
              </w:rPr>
              <w:t>生均教学日常运行支出</w:t>
            </w:r>
          </w:p>
        </w:tc>
        <w:tc>
          <w:tcPr>
            <w:tcW w:w="4731" w:type="dxa"/>
            <w:vAlign w:val="center"/>
          </w:tcPr>
          <w:p>
            <w:pPr>
              <w:jc w:val="center"/>
              <w:rPr>
                <w:sz w:val="21"/>
                <w:szCs w:val="21"/>
              </w:rPr>
            </w:pPr>
            <w:r>
              <w:rPr>
                <w:sz w:val="21"/>
                <w:szCs w:val="21"/>
              </w:rPr>
              <w:t>5068.5</w:t>
            </w:r>
            <w:bookmarkStart w:id="75" w:name="OLE_LINK47"/>
            <w:bookmarkEnd w:id="75"/>
          </w:p>
        </w:tc>
      </w:tr>
      <w:tr>
        <w:tc>
          <w:tcPr>
            <w:tcW w:w="3565" w:type="dxa"/>
            <w:vAlign w:val="center"/>
          </w:tcPr>
          <w:p>
            <w:pPr>
              <w:jc w:val="center"/>
              <w:rPr>
                <w:sz w:val="21"/>
                <w:szCs w:val="21"/>
              </w:rPr>
            </w:pPr>
            <w:r>
              <w:rPr>
                <w:rFonts w:hint="eastAsia"/>
                <w:sz w:val="21"/>
                <w:szCs w:val="21"/>
              </w:rPr>
              <w:t>生均实验经费支出</w:t>
            </w:r>
          </w:p>
        </w:tc>
        <w:tc>
          <w:tcPr>
            <w:tcW w:w="4731" w:type="dxa"/>
            <w:vAlign w:val="center"/>
          </w:tcPr>
          <w:p>
            <w:pPr>
              <w:jc w:val="center"/>
              <w:rPr>
                <w:sz w:val="21"/>
                <w:szCs w:val="21"/>
              </w:rPr>
            </w:pPr>
            <w:r>
              <w:rPr>
                <w:sz w:val="21"/>
                <w:szCs w:val="21"/>
              </w:rPr>
              <w:t>1017.74</w:t>
            </w:r>
            <w:bookmarkStart w:id="76" w:name="OLE_LINK48"/>
            <w:bookmarkEnd w:id="76"/>
          </w:p>
        </w:tc>
      </w:tr>
      <w:tr>
        <w:tc>
          <w:tcPr>
            <w:tcW w:w="3565" w:type="dxa"/>
            <w:vAlign w:val="center"/>
          </w:tcPr>
          <w:p>
            <w:pPr>
              <w:jc w:val="center"/>
              <w:rPr>
                <w:sz w:val="21"/>
                <w:szCs w:val="21"/>
              </w:rPr>
            </w:pPr>
            <w:r>
              <w:rPr>
                <w:rFonts w:hint="eastAsia"/>
                <w:sz w:val="21"/>
                <w:szCs w:val="21"/>
              </w:rPr>
              <w:t>生均实习经费支出</w:t>
            </w:r>
          </w:p>
        </w:tc>
        <w:tc>
          <w:tcPr>
            <w:tcW w:w="4731" w:type="dxa"/>
            <w:vAlign w:val="center"/>
          </w:tcPr>
          <w:p>
            <w:pPr>
              <w:jc w:val="center"/>
              <w:rPr>
                <w:sz w:val="21"/>
                <w:szCs w:val="21"/>
              </w:rPr>
            </w:pPr>
            <w:r>
              <w:rPr>
                <w:sz w:val="21"/>
                <w:szCs w:val="21"/>
              </w:rPr>
              <w:t>410.89</w:t>
            </w:r>
          </w:p>
        </w:tc>
      </w:tr>
    </w:tbl>
    <w:p/>
    <w:p>
      <w:pPr>
        <w:pStyle w:val="4"/>
        <w:rPr>
          <w:rFonts w:ascii="宋体" w:hAnsi="宋体" w:eastAsia="宋体"/>
          <w:b w:val="0"/>
          <w:bCs w:val="0"/>
          <w:sz w:val="24"/>
          <w:szCs w:val="24"/>
        </w:rPr>
      </w:pPr>
      <w:bookmarkStart w:id="77" w:name="_Toc154735784"/>
      <w:r>
        <w:rPr>
          <w:rFonts w:ascii="宋体" w:hAnsi="宋体" w:eastAsia="宋体"/>
          <w:b w:val="0"/>
          <w:bCs w:val="0"/>
          <w:sz w:val="24"/>
          <w:szCs w:val="24"/>
        </w:rPr>
        <w:t>5.2支撑专业实验教学校内场所情况</w:t>
      </w:r>
      <w:bookmarkEnd w:id="77"/>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目前</w:t>
      </w:r>
      <w:r>
        <w:rPr>
          <w:rFonts w:hint="eastAsia" w:ascii="仿宋" w:hAnsi="仿宋" w:eastAsia="仿宋" w:cstheme="minorBidi"/>
          <w:kern w:val="2"/>
        </w:rPr>
        <w:t>专业</w:t>
      </w:r>
      <w:r>
        <w:rPr>
          <w:rFonts w:ascii="仿宋" w:hAnsi="仿宋" w:eastAsia="仿宋" w:cstheme="minorBidi"/>
          <w:kern w:val="2"/>
        </w:rPr>
        <w:t>有基础实验室1</w:t>
      </w:r>
      <w:r>
        <w:rPr>
          <w:rFonts w:hint="eastAsia" w:ascii="仿宋" w:hAnsi="仿宋" w:eastAsia="仿宋" w:cstheme="minorBidi"/>
          <w:kern w:val="2"/>
        </w:rPr>
        <w:t>个</w:t>
      </w:r>
      <w:r>
        <w:rPr>
          <w:rFonts w:ascii="仿宋" w:hAnsi="仿宋" w:eastAsia="仿宋" w:cstheme="minorBidi"/>
          <w:kern w:val="2"/>
        </w:rPr>
        <w:t>，承担了1门实验课程</w:t>
      </w:r>
      <w:r>
        <w:rPr>
          <w:rFonts w:hint="eastAsia" w:ascii="仿宋" w:hAnsi="仿宋" w:eastAsia="仿宋" w:cstheme="minorBidi"/>
          <w:kern w:val="2"/>
        </w:rPr>
        <w:t>，面积为8</w:t>
      </w:r>
      <w:r>
        <w:rPr>
          <w:rFonts w:ascii="仿宋" w:hAnsi="仿宋" w:eastAsia="仿宋" w:cstheme="minorBidi"/>
          <w:kern w:val="2"/>
        </w:rPr>
        <w:t>9.04</w:t>
      </w:r>
      <w:r>
        <w:rPr>
          <w:rFonts w:hint="eastAsia" w:ascii="仿宋" w:hAnsi="仿宋" w:eastAsia="仿宋" w:cstheme="minorBidi"/>
          <w:kern w:val="2"/>
        </w:rPr>
        <w:t>平方米</w:t>
      </w:r>
      <w:r>
        <w:rPr>
          <w:rFonts w:ascii="仿宋" w:hAnsi="仿宋" w:eastAsia="仿宋" w:cstheme="minorBidi"/>
          <w:kern w:val="2"/>
        </w:rPr>
        <w:t>。目前，专业所有主干课程均设置了相应6-24课时的实验、实践课程。</w:t>
      </w:r>
    </w:p>
    <w:p/>
    <w:tbl>
      <w:tblPr>
        <w:tblStyle w:val="1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750"/>
        <w:gridCol w:w="1984"/>
        <w:gridCol w:w="1701"/>
        <w:gridCol w:w="1310"/>
        <w:gridCol w:w="1809"/>
      </w:tblGrid>
      <w:tr>
        <w:tc>
          <w:tcPr>
            <w:tcW w:w="1230" w:type="dxa"/>
            <w:vAlign w:val="center"/>
          </w:tcPr>
          <w:p>
            <w:pPr>
              <w:jc w:val="center"/>
              <w:rPr>
                <w:sz w:val="21"/>
                <w:szCs w:val="21"/>
              </w:rPr>
            </w:pPr>
            <w:r>
              <w:rPr>
                <w:rFonts w:hint="eastAsia"/>
                <w:sz w:val="21"/>
                <w:szCs w:val="21"/>
              </w:rPr>
              <w:t>项目</w:t>
            </w:r>
          </w:p>
        </w:tc>
        <w:tc>
          <w:tcPr>
            <w:tcW w:w="750" w:type="dxa"/>
            <w:vAlign w:val="center"/>
          </w:tcPr>
          <w:p>
            <w:pPr>
              <w:jc w:val="center"/>
              <w:rPr>
                <w:sz w:val="21"/>
                <w:szCs w:val="21"/>
              </w:rPr>
            </w:pPr>
            <w:r>
              <w:rPr>
                <w:rFonts w:hint="eastAsia"/>
                <w:sz w:val="21"/>
                <w:szCs w:val="21"/>
              </w:rPr>
              <w:t>数量</w:t>
            </w:r>
          </w:p>
        </w:tc>
        <w:tc>
          <w:tcPr>
            <w:tcW w:w="1984" w:type="dxa"/>
            <w:vAlign w:val="center"/>
          </w:tcPr>
          <w:p>
            <w:pPr>
              <w:jc w:val="center"/>
              <w:rPr>
                <w:sz w:val="21"/>
                <w:szCs w:val="21"/>
              </w:rPr>
            </w:pPr>
            <w:r>
              <w:rPr>
                <w:rFonts w:hint="eastAsia"/>
                <w:sz w:val="21"/>
                <w:szCs w:val="21"/>
              </w:rPr>
              <w:t>承担实验课程门数</w:t>
            </w:r>
          </w:p>
        </w:tc>
        <w:tc>
          <w:tcPr>
            <w:tcW w:w="1701" w:type="dxa"/>
            <w:vAlign w:val="center"/>
          </w:tcPr>
          <w:p>
            <w:pPr>
              <w:jc w:val="center"/>
              <w:rPr>
                <w:sz w:val="21"/>
                <w:szCs w:val="21"/>
              </w:rPr>
            </w:pPr>
            <w:r>
              <w:rPr>
                <w:rFonts w:hint="eastAsia"/>
                <w:sz w:val="21"/>
                <w:szCs w:val="21"/>
              </w:rPr>
              <w:t>面积（平方米）</w:t>
            </w:r>
          </w:p>
        </w:tc>
        <w:tc>
          <w:tcPr>
            <w:tcW w:w="1310" w:type="dxa"/>
            <w:vAlign w:val="center"/>
          </w:tcPr>
          <w:p>
            <w:pPr>
              <w:jc w:val="center"/>
              <w:rPr>
                <w:sz w:val="21"/>
                <w:szCs w:val="21"/>
              </w:rPr>
            </w:pPr>
            <w:r>
              <w:rPr>
                <w:rFonts w:hint="eastAsia"/>
                <w:sz w:val="21"/>
                <w:szCs w:val="21"/>
              </w:rPr>
              <w:t>设备台套数</w:t>
            </w:r>
          </w:p>
        </w:tc>
        <w:tc>
          <w:tcPr>
            <w:tcW w:w="1809" w:type="dxa"/>
            <w:vAlign w:val="center"/>
          </w:tcPr>
          <w:p>
            <w:pPr>
              <w:jc w:val="center"/>
              <w:rPr>
                <w:sz w:val="21"/>
                <w:szCs w:val="21"/>
              </w:rPr>
            </w:pPr>
            <w:r>
              <w:rPr>
                <w:rFonts w:hint="eastAsia"/>
                <w:sz w:val="21"/>
                <w:szCs w:val="21"/>
              </w:rPr>
              <w:t>设备值（万元）</w:t>
            </w:r>
          </w:p>
        </w:tc>
      </w:tr>
      <w:tr>
        <w:tc>
          <w:tcPr>
            <w:tcW w:w="1230" w:type="dxa"/>
            <w:vAlign w:val="center"/>
          </w:tcPr>
          <w:p>
            <w:pPr>
              <w:jc w:val="center"/>
              <w:rPr>
                <w:sz w:val="20"/>
                <w:szCs w:val="20"/>
              </w:rPr>
            </w:pPr>
            <w:r>
              <w:rPr>
                <w:sz w:val="20"/>
                <w:szCs w:val="20"/>
              </w:rPr>
              <w:t>专业实验室</w:t>
            </w:r>
          </w:p>
        </w:tc>
        <w:tc>
          <w:tcPr>
            <w:tcW w:w="750" w:type="dxa"/>
            <w:vAlign w:val="center"/>
          </w:tcPr>
          <w:p>
            <w:pPr>
              <w:jc w:val="center"/>
              <w:rPr>
                <w:sz w:val="20"/>
                <w:szCs w:val="20"/>
              </w:rPr>
            </w:pPr>
            <w:r>
              <w:rPr>
                <w:sz w:val="20"/>
                <w:szCs w:val="20"/>
              </w:rPr>
              <w:t>0</w:t>
            </w:r>
            <w:bookmarkStart w:id="78" w:name="OLE_LINK49"/>
            <w:bookmarkEnd w:id="78"/>
          </w:p>
        </w:tc>
        <w:tc>
          <w:tcPr>
            <w:tcW w:w="1984" w:type="dxa"/>
            <w:vAlign w:val="center"/>
          </w:tcPr>
          <w:p>
            <w:pPr>
              <w:jc w:val="center"/>
              <w:rPr>
                <w:sz w:val="20"/>
                <w:szCs w:val="20"/>
              </w:rPr>
            </w:pPr>
            <w:r>
              <w:rPr>
                <w:sz w:val="20"/>
                <w:szCs w:val="20"/>
              </w:rPr>
              <w:t>0</w:t>
            </w:r>
          </w:p>
        </w:tc>
        <w:tc>
          <w:tcPr>
            <w:tcW w:w="1701" w:type="dxa"/>
            <w:vAlign w:val="center"/>
          </w:tcPr>
          <w:p>
            <w:pPr>
              <w:jc w:val="center"/>
              <w:rPr>
                <w:sz w:val="20"/>
                <w:szCs w:val="20"/>
              </w:rPr>
            </w:pPr>
            <w:r>
              <w:rPr>
                <w:sz w:val="20"/>
                <w:szCs w:val="20"/>
              </w:rPr>
              <w:t>0</w:t>
            </w:r>
          </w:p>
        </w:tc>
        <w:tc>
          <w:tcPr>
            <w:tcW w:w="1310" w:type="dxa"/>
            <w:vAlign w:val="center"/>
          </w:tcPr>
          <w:p>
            <w:pPr>
              <w:jc w:val="center"/>
              <w:rPr>
                <w:sz w:val="20"/>
                <w:szCs w:val="20"/>
              </w:rPr>
            </w:pPr>
            <w:r>
              <w:rPr>
                <w:sz w:val="20"/>
                <w:szCs w:val="20"/>
              </w:rPr>
              <w:t>0</w:t>
            </w:r>
          </w:p>
        </w:tc>
        <w:tc>
          <w:tcPr>
            <w:tcW w:w="1809" w:type="dxa"/>
            <w:vAlign w:val="center"/>
          </w:tcPr>
          <w:p>
            <w:pPr>
              <w:jc w:val="center"/>
              <w:rPr>
                <w:sz w:val="20"/>
                <w:szCs w:val="20"/>
              </w:rPr>
            </w:pPr>
            <w:r>
              <w:rPr>
                <w:sz w:val="20"/>
                <w:szCs w:val="20"/>
              </w:rPr>
              <w:t>0</w:t>
            </w:r>
          </w:p>
        </w:tc>
      </w:tr>
      <w:tr>
        <w:tc>
          <w:tcPr>
            <w:tcW w:w="1230" w:type="dxa"/>
            <w:vAlign w:val="center"/>
          </w:tcPr>
          <w:p>
            <w:pPr>
              <w:jc w:val="center"/>
              <w:rPr>
                <w:sz w:val="20"/>
                <w:szCs w:val="20"/>
              </w:rPr>
            </w:pPr>
            <w:r>
              <w:rPr>
                <w:sz w:val="20"/>
              </w:rPr>
              <w:t>基础实验室</w:t>
            </w:r>
          </w:p>
        </w:tc>
        <w:tc>
          <w:tcPr>
            <w:tcW w:w="750" w:type="dxa"/>
            <w:vAlign w:val="center"/>
          </w:tcPr>
          <w:p>
            <w:pPr>
              <w:jc w:val="center"/>
              <w:rPr>
                <w:sz w:val="20"/>
                <w:szCs w:val="20"/>
              </w:rPr>
            </w:pPr>
            <w:r>
              <w:rPr>
                <w:sz w:val="20"/>
              </w:rPr>
              <w:t>1</w:t>
            </w:r>
          </w:p>
        </w:tc>
        <w:tc>
          <w:tcPr>
            <w:tcW w:w="1984" w:type="dxa"/>
            <w:vAlign w:val="center"/>
          </w:tcPr>
          <w:p>
            <w:pPr>
              <w:jc w:val="center"/>
              <w:rPr>
                <w:sz w:val="20"/>
                <w:szCs w:val="20"/>
              </w:rPr>
            </w:pPr>
            <w:r>
              <w:rPr>
                <w:sz w:val="20"/>
              </w:rPr>
              <w:t>1</w:t>
            </w:r>
          </w:p>
        </w:tc>
        <w:tc>
          <w:tcPr>
            <w:tcW w:w="1701" w:type="dxa"/>
            <w:vAlign w:val="center"/>
          </w:tcPr>
          <w:p>
            <w:pPr>
              <w:jc w:val="center"/>
              <w:rPr>
                <w:sz w:val="20"/>
                <w:szCs w:val="20"/>
              </w:rPr>
            </w:pPr>
            <w:r>
              <w:rPr>
                <w:sz w:val="20"/>
              </w:rPr>
              <w:t>89.04</w:t>
            </w:r>
          </w:p>
        </w:tc>
        <w:tc>
          <w:tcPr>
            <w:tcW w:w="1310" w:type="dxa"/>
            <w:vAlign w:val="center"/>
          </w:tcPr>
          <w:p>
            <w:pPr>
              <w:jc w:val="center"/>
              <w:rPr>
                <w:sz w:val="20"/>
                <w:szCs w:val="20"/>
              </w:rPr>
            </w:pPr>
            <w:r>
              <w:rPr>
                <w:sz w:val="20"/>
              </w:rPr>
              <w:t>0</w:t>
            </w:r>
          </w:p>
        </w:tc>
        <w:tc>
          <w:tcPr>
            <w:tcW w:w="1809" w:type="dxa"/>
            <w:vAlign w:val="center"/>
          </w:tcPr>
          <w:p>
            <w:pPr>
              <w:jc w:val="center"/>
              <w:rPr>
                <w:sz w:val="20"/>
                <w:szCs w:val="20"/>
              </w:rPr>
            </w:pPr>
            <w:r>
              <w:rPr>
                <w:sz w:val="20"/>
              </w:rPr>
              <w:t>0</w:t>
            </w:r>
          </w:p>
        </w:tc>
      </w:tr>
      <w:tr>
        <w:tc>
          <w:tcPr>
            <w:tcW w:w="1230" w:type="dxa"/>
            <w:vAlign w:val="center"/>
          </w:tcPr>
          <w:p>
            <w:pPr>
              <w:jc w:val="center"/>
              <w:rPr>
                <w:sz w:val="20"/>
                <w:szCs w:val="20"/>
              </w:rPr>
            </w:pPr>
            <w:r>
              <w:rPr>
                <w:sz w:val="20"/>
              </w:rPr>
              <w:t>实习场所</w:t>
            </w:r>
          </w:p>
        </w:tc>
        <w:tc>
          <w:tcPr>
            <w:tcW w:w="750" w:type="dxa"/>
            <w:vAlign w:val="center"/>
          </w:tcPr>
          <w:p>
            <w:pPr>
              <w:jc w:val="center"/>
              <w:rPr>
                <w:sz w:val="20"/>
                <w:szCs w:val="20"/>
              </w:rPr>
            </w:pPr>
            <w:r>
              <w:rPr>
                <w:sz w:val="20"/>
              </w:rPr>
              <w:t>0</w:t>
            </w:r>
          </w:p>
        </w:tc>
        <w:tc>
          <w:tcPr>
            <w:tcW w:w="1984" w:type="dxa"/>
            <w:vAlign w:val="center"/>
          </w:tcPr>
          <w:p>
            <w:pPr>
              <w:jc w:val="center"/>
              <w:rPr>
                <w:sz w:val="20"/>
                <w:szCs w:val="20"/>
              </w:rPr>
            </w:pPr>
            <w:r>
              <w:rPr>
                <w:sz w:val="20"/>
              </w:rPr>
              <w:t>0</w:t>
            </w:r>
          </w:p>
        </w:tc>
        <w:tc>
          <w:tcPr>
            <w:tcW w:w="1701" w:type="dxa"/>
            <w:vAlign w:val="center"/>
          </w:tcPr>
          <w:p>
            <w:pPr>
              <w:jc w:val="center"/>
              <w:rPr>
                <w:sz w:val="20"/>
                <w:szCs w:val="20"/>
              </w:rPr>
            </w:pPr>
            <w:r>
              <w:rPr>
                <w:sz w:val="20"/>
              </w:rPr>
              <w:t>0</w:t>
            </w:r>
          </w:p>
        </w:tc>
        <w:tc>
          <w:tcPr>
            <w:tcW w:w="1310" w:type="dxa"/>
            <w:vAlign w:val="center"/>
          </w:tcPr>
          <w:p>
            <w:pPr>
              <w:jc w:val="center"/>
              <w:rPr>
                <w:sz w:val="20"/>
                <w:szCs w:val="20"/>
              </w:rPr>
            </w:pPr>
            <w:r>
              <w:rPr>
                <w:sz w:val="20"/>
              </w:rPr>
              <w:t>0</w:t>
            </w:r>
          </w:p>
        </w:tc>
        <w:tc>
          <w:tcPr>
            <w:tcW w:w="1809" w:type="dxa"/>
            <w:vAlign w:val="center"/>
          </w:tcPr>
          <w:p>
            <w:pPr>
              <w:jc w:val="center"/>
              <w:rPr>
                <w:sz w:val="20"/>
                <w:szCs w:val="20"/>
              </w:rPr>
            </w:pPr>
            <w:r>
              <w:rPr>
                <w:sz w:val="20"/>
              </w:rPr>
              <w:t>0</w:t>
            </w:r>
          </w:p>
        </w:tc>
      </w:tr>
      <w:tr>
        <w:tc>
          <w:tcPr>
            <w:tcW w:w="1230" w:type="dxa"/>
            <w:vAlign w:val="center"/>
          </w:tcPr>
          <w:p>
            <w:pPr>
              <w:jc w:val="center"/>
              <w:rPr>
                <w:sz w:val="20"/>
                <w:szCs w:val="20"/>
              </w:rPr>
            </w:pPr>
            <w:r>
              <w:rPr>
                <w:sz w:val="20"/>
              </w:rPr>
              <w:t>实训场所</w:t>
            </w:r>
          </w:p>
        </w:tc>
        <w:tc>
          <w:tcPr>
            <w:tcW w:w="750" w:type="dxa"/>
            <w:vAlign w:val="center"/>
          </w:tcPr>
          <w:p>
            <w:pPr>
              <w:jc w:val="center"/>
              <w:rPr>
                <w:sz w:val="20"/>
                <w:szCs w:val="20"/>
              </w:rPr>
            </w:pPr>
            <w:r>
              <w:rPr>
                <w:sz w:val="20"/>
              </w:rPr>
              <w:t>0</w:t>
            </w:r>
          </w:p>
        </w:tc>
        <w:tc>
          <w:tcPr>
            <w:tcW w:w="1984" w:type="dxa"/>
            <w:vAlign w:val="center"/>
          </w:tcPr>
          <w:p>
            <w:pPr>
              <w:jc w:val="center"/>
              <w:rPr>
                <w:sz w:val="20"/>
                <w:szCs w:val="20"/>
              </w:rPr>
            </w:pPr>
            <w:r>
              <w:rPr>
                <w:sz w:val="20"/>
              </w:rPr>
              <w:t>0</w:t>
            </w:r>
          </w:p>
        </w:tc>
        <w:tc>
          <w:tcPr>
            <w:tcW w:w="1701" w:type="dxa"/>
            <w:vAlign w:val="center"/>
          </w:tcPr>
          <w:p>
            <w:pPr>
              <w:jc w:val="center"/>
              <w:rPr>
                <w:sz w:val="20"/>
                <w:szCs w:val="20"/>
              </w:rPr>
            </w:pPr>
            <w:r>
              <w:rPr>
                <w:sz w:val="20"/>
              </w:rPr>
              <w:t>0</w:t>
            </w:r>
          </w:p>
        </w:tc>
        <w:tc>
          <w:tcPr>
            <w:tcW w:w="1310" w:type="dxa"/>
            <w:vAlign w:val="center"/>
          </w:tcPr>
          <w:p>
            <w:pPr>
              <w:jc w:val="center"/>
              <w:rPr>
                <w:sz w:val="20"/>
                <w:szCs w:val="20"/>
              </w:rPr>
            </w:pPr>
            <w:r>
              <w:rPr>
                <w:sz w:val="20"/>
              </w:rPr>
              <w:t>0</w:t>
            </w:r>
          </w:p>
        </w:tc>
        <w:tc>
          <w:tcPr>
            <w:tcW w:w="1809" w:type="dxa"/>
            <w:vAlign w:val="center"/>
          </w:tcPr>
          <w:p>
            <w:pPr>
              <w:jc w:val="center"/>
              <w:rPr>
                <w:sz w:val="20"/>
                <w:szCs w:val="20"/>
              </w:rPr>
            </w:pPr>
            <w:r>
              <w:rPr>
                <w:sz w:val="20"/>
              </w:rPr>
              <w:t>0</w:t>
            </w:r>
          </w:p>
        </w:tc>
      </w:tr>
      <w:tr>
        <w:tc>
          <w:tcPr>
            <w:tcW w:w="1230" w:type="dxa"/>
            <w:vAlign w:val="center"/>
          </w:tcPr>
          <w:p>
            <w:pPr>
              <w:jc w:val="center"/>
              <w:rPr>
                <w:sz w:val="20"/>
                <w:szCs w:val="20"/>
              </w:rPr>
            </w:pPr>
            <w:r>
              <w:rPr>
                <w:sz w:val="20"/>
              </w:rPr>
              <w:t>其他</w:t>
            </w:r>
          </w:p>
        </w:tc>
        <w:tc>
          <w:tcPr>
            <w:tcW w:w="750" w:type="dxa"/>
            <w:vAlign w:val="center"/>
          </w:tcPr>
          <w:p>
            <w:pPr>
              <w:jc w:val="center"/>
              <w:rPr>
                <w:sz w:val="20"/>
                <w:szCs w:val="20"/>
              </w:rPr>
            </w:pPr>
            <w:r>
              <w:rPr>
                <w:sz w:val="20"/>
              </w:rPr>
              <w:t>0</w:t>
            </w:r>
          </w:p>
        </w:tc>
        <w:tc>
          <w:tcPr>
            <w:tcW w:w="1984" w:type="dxa"/>
            <w:vAlign w:val="center"/>
          </w:tcPr>
          <w:p>
            <w:pPr>
              <w:jc w:val="center"/>
              <w:rPr>
                <w:sz w:val="20"/>
                <w:szCs w:val="20"/>
              </w:rPr>
            </w:pPr>
            <w:r>
              <w:rPr>
                <w:sz w:val="20"/>
              </w:rPr>
              <w:t>0</w:t>
            </w:r>
          </w:p>
        </w:tc>
        <w:tc>
          <w:tcPr>
            <w:tcW w:w="1701" w:type="dxa"/>
            <w:vAlign w:val="center"/>
          </w:tcPr>
          <w:p>
            <w:pPr>
              <w:jc w:val="center"/>
              <w:rPr>
                <w:sz w:val="20"/>
                <w:szCs w:val="20"/>
              </w:rPr>
            </w:pPr>
            <w:r>
              <w:rPr>
                <w:sz w:val="20"/>
              </w:rPr>
              <w:t>0</w:t>
            </w:r>
          </w:p>
        </w:tc>
        <w:tc>
          <w:tcPr>
            <w:tcW w:w="1310" w:type="dxa"/>
            <w:vAlign w:val="center"/>
          </w:tcPr>
          <w:p>
            <w:pPr>
              <w:jc w:val="center"/>
              <w:rPr>
                <w:sz w:val="20"/>
                <w:szCs w:val="20"/>
              </w:rPr>
            </w:pPr>
            <w:r>
              <w:rPr>
                <w:sz w:val="20"/>
              </w:rPr>
              <w:t>0</w:t>
            </w:r>
          </w:p>
        </w:tc>
        <w:tc>
          <w:tcPr>
            <w:tcW w:w="1809" w:type="dxa"/>
            <w:vAlign w:val="center"/>
          </w:tcPr>
          <w:p>
            <w:pPr>
              <w:jc w:val="center"/>
              <w:rPr>
                <w:sz w:val="20"/>
                <w:szCs w:val="20"/>
              </w:rPr>
            </w:pPr>
            <w:r>
              <w:rPr>
                <w:sz w:val="20"/>
              </w:rPr>
              <w:t>0</w:t>
            </w:r>
          </w:p>
        </w:tc>
      </w:tr>
    </w:tbl>
    <w:p/>
    <w:p>
      <w:pPr>
        <w:pStyle w:val="4"/>
        <w:rPr>
          <w:rFonts w:ascii="宋体" w:hAnsi="宋体" w:eastAsia="宋体"/>
          <w:b w:val="0"/>
          <w:bCs w:val="0"/>
          <w:sz w:val="24"/>
          <w:szCs w:val="24"/>
        </w:rPr>
      </w:pPr>
      <w:bookmarkStart w:id="79" w:name="_Toc154735785"/>
      <w:r>
        <w:rPr>
          <w:rFonts w:ascii="宋体" w:hAnsi="宋体" w:eastAsia="宋体"/>
          <w:b w:val="0"/>
          <w:bCs w:val="0"/>
          <w:sz w:val="24"/>
          <w:szCs w:val="24"/>
        </w:rPr>
        <w:t>5.3校外本科教学实习实训基地情况</w:t>
      </w:r>
      <w:bookmarkEnd w:id="79"/>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专业已</w:t>
      </w:r>
      <w:r>
        <w:rPr>
          <w:rFonts w:ascii="仿宋" w:hAnsi="仿宋" w:eastAsia="仿宋" w:cstheme="minorBidi"/>
          <w:kern w:val="2"/>
        </w:rPr>
        <w:t>建成</w:t>
      </w:r>
      <w:r>
        <w:rPr>
          <w:rFonts w:hint="eastAsia" w:ascii="仿宋" w:hAnsi="仿宋" w:eastAsia="仿宋" w:cstheme="minorBidi"/>
          <w:kern w:val="2"/>
        </w:rPr>
        <w:t>7</w:t>
      </w:r>
      <w:r>
        <w:rPr>
          <w:rFonts w:ascii="仿宋" w:hAnsi="仿宋" w:eastAsia="仿宋" w:cstheme="minorBidi"/>
          <w:kern w:val="2"/>
        </w:rPr>
        <w:t>个稳定的校外实习基地，确保学生专业实践与实习的需要。其中上海人寿堂养老服务(集团)有限公司、上海万宏工业投资（集团）有限公司、上海九如城企业(集团)有限公司和上海市长宁区仙霞街道这4个基地都是在2020年建立的，</w:t>
      </w:r>
      <w:r>
        <w:rPr>
          <w:rFonts w:hint="eastAsia" w:ascii="仿宋" w:hAnsi="仿宋" w:eastAsia="仿宋" w:cstheme="minorBidi"/>
          <w:kern w:val="2"/>
        </w:rPr>
        <w:t>本</w:t>
      </w:r>
      <w:r>
        <w:rPr>
          <w:rFonts w:ascii="仿宋" w:hAnsi="仿宋" w:eastAsia="仿宋" w:cstheme="minorBidi"/>
          <w:kern w:val="2"/>
        </w:rPr>
        <w:t>年</w:t>
      </w:r>
      <w:r>
        <w:rPr>
          <w:rFonts w:hint="eastAsia" w:ascii="仿宋" w:hAnsi="仿宋" w:eastAsia="仿宋" w:cstheme="minorBidi"/>
          <w:kern w:val="2"/>
        </w:rPr>
        <w:t>度</w:t>
      </w:r>
      <w:r>
        <w:rPr>
          <w:rFonts w:ascii="仿宋" w:hAnsi="仿宋" w:eastAsia="仿宋" w:cstheme="minorBidi"/>
          <w:kern w:val="2"/>
        </w:rPr>
        <w:t>接纳的学生总数均为40人次。而上海微能机器人科技有限公司则是2022年建立的，</w:t>
      </w:r>
      <w:r>
        <w:rPr>
          <w:rFonts w:hint="eastAsia" w:ascii="仿宋" w:hAnsi="仿宋" w:eastAsia="仿宋" w:cstheme="minorBidi"/>
          <w:kern w:val="2"/>
        </w:rPr>
        <w:t>本</w:t>
      </w:r>
      <w:r>
        <w:rPr>
          <w:rFonts w:ascii="仿宋" w:hAnsi="仿宋" w:eastAsia="仿宋" w:cstheme="minorBidi"/>
          <w:kern w:val="2"/>
        </w:rPr>
        <w:t>年</w:t>
      </w:r>
      <w:r>
        <w:rPr>
          <w:rFonts w:hint="eastAsia" w:ascii="仿宋" w:hAnsi="仿宋" w:eastAsia="仿宋" w:cstheme="minorBidi"/>
          <w:kern w:val="2"/>
        </w:rPr>
        <w:t>度</w:t>
      </w:r>
      <w:r>
        <w:rPr>
          <w:rFonts w:ascii="仿宋" w:hAnsi="仿宋" w:eastAsia="仿宋" w:cstheme="minorBidi"/>
          <w:kern w:val="2"/>
        </w:rPr>
        <w:t>接纳的学生总数为20人次。国药康养实业（上海）有限公司</w:t>
      </w:r>
      <w:r>
        <w:rPr>
          <w:rFonts w:hint="eastAsia" w:ascii="仿宋" w:hAnsi="仿宋" w:eastAsia="仿宋" w:cstheme="minorBidi"/>
          <w:kern w:val="2"/>
        </w:rPr>
        <w:t>与</w:t>
      </w:r>
      <w:r>
        <w:rPr>
          <w:rFonts w:ascii="仿宋" w:hAnsi="仿宋" w:eastAsia="仿宋" w:cstheme="minorBidi"/>
          <w:kern w:val="2"/>
        </w:rPr>
        <w:t>泰康之家申园（上海）养老服务有限公司</w:t>
      </w:r>
      <w:r>
        <w:rPr>
          <w:rFonts w:hint="eastAsia" w:ascii="仿宋" w:hAnsi="仿宋" w:eastAsia="仿宋" w:cstheme="minorBidi"/>
          <w:kern w:val="2"/>
        </w:rPr>
        <w:t>这2个实习基地实在2</w:t>
      </w:r>
      <w:r>
        <w:rPr>
          <w:rFonts w:ascii="仿宋" w:hAnsi="仿宋" w:eastAsia="仿宋" w:cstheme="minorBidi"/>
          <w:kern w:val="2"/>
        </w:rPr>
        <w:t>023</w:t>
      </w:r>
      <w:r>
        <w:rPr>
          <w:rFonts w:hint="eastAsia" w:ascii="仿宋" w:hAnsi="仿宋" w:eastAsia="仿宋" w:cstheme="minorBidi"/>
          <w:kern w:val="2"/>
        </w:rPr>
        <w:t>年建立的，本</w:t>
      </w:r>
      <w:r>
        <w:rPr>
          <w:rFonts w:ascii="仿宋" w:hAnsi="仿宋" w:eastAsia="仿宋" w:cstheme="minorBidi"/>
          <w:kern w:val="2"/>
        </w:rPr>
        <w:t>年</w:t>
      </w:r>
      <w:r>
        <w:rPr>
          <w:rFonts w:hint="eastAsia" w:ascii="仿宋" w:hAnsi="仿宋" w:eastAsia="仿宋" w:cstheme="minorBidi"/>
          <w:kern w:val="2"/>
        </w:rPr>
        <w:t>度</w:t>
      </w:r>
      <w:r>
        <w:rPr>
          <w:rFonts w:ascii="仿宋" w:hAnsi="仿宋" w:eastAsia="仿宋" w:cstheme="minorBidi"/>
          <w:kern w:val="2"/>
        </w:rPr>
        <w:t>接纳的学生总数</w:t>
      </w:r>
      <w:r>
        <w:rPr>
          <w:rFonts w:hint="eastAsia" w:ascii="仿宋" w:hAnsi="仿宋" w:eastAsia="仿宋" w:cstheme="minorBidi"/>
          <w:kern w:val="2"/>
        </w:rPr>
        <w:t>均</w:t>
      </w:r>
      <w:r>
        <w:rPr>
          <w:rFonts w:ascii="仿宋" w:hAnsi="仿宋" w:eastAsia="仿宋" w:cstheme="minorBidi"/>
          <w:kern w:val="2"/>
        </w:rPr>
        <w:t>为</w:t>
      </w:r>
      <w:r>
        <w:rPr>
          <w:rFonts w:hint="eastAsia" w:ascii="仿宋" w:hAnsi="仿宋" w:eastAsia="仿宋" w:cstheme="minorBidi"/>
          <w:kern w:val="2"/>
        </w:rPr>
        <w:t>2</w:t>
      </w:r>
      <w:r>
        <w:rPr>
          <w:rFonts w:ascii="仿宋" w:hAnsi="仿宋" w:eastAsia="仿宋" w:cstheme="minorBidi"/>
          <w:kern w:val="2"/>
        </w:rPr>
        <w:t>0</w:t>
      </w:r>
      <w:r>
        <w:rPr>
          <w:rFonts w:hint="eastAsia" w:ascii="仿宋" w:hAnsi="仿宋" w:eastAsia="仿宋" w:cstheme="minorBidi"/>
          <w:kern w:val="2"/>
        </w:rPr>
        <w:t>人次</w:t>
      </w:r>
      <w:r>
        <w:rPr>
          <w:rFonts w:ascii="仿宋" w:hAnsi="仿宋" w:eastAsia="仿宋" w:cstheme="minorBidi"/>
          <w:kern w:val="2"/>
        </w:rPr>
        <w:t>。</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在见习、实习管理上，实行“基地双重管理，实训双重指导”，系部与学院共同管理学生，学院、实习单位双方各指定一名指导老师，保障实习见习工作按计划开展。目前本专业已与</w:t>
      </w:r>
      <w:r>
        <w:rPr>
          <w:rFonts w:hint="eastAsia" w:ascii="仿宋" w:hAnsi="仿宋" w:eastAsia="仿宋" w:cstheme="minorBidi"/>
          <w:kern w:val="2"/>
        </w:rPr>
        <w:t>7</w:t>
      </w:r>
      <w:r>
        <w:rPr>
          <w:rFonts w:ascii="仿宋" w:hAnsi="仿宋" w:eastAsia="仿宋" w:cstheme="minorBidi"/>
          <w:kern w:val="2"/>
        </w:rPr>
        <w:t>家企业签订了实习、产学研合作协议，建立了稳定的实习基地或实训基地，为本专业学生开展实习、实践、产学合作教育提供了保障。本专业实习基地能保证每学期至少有1批学生在基地实习与实践，与产学研合作单位共建产学合作命运共同体，构筑覆盖大一至大四年级的“由进到出”的全周期产学研实践教育，实施校企“人才共育、效果共评”，着力提升学生的专业认知、理论素养、应用能力和就业竞争力，为企业和社会培育、输出优秀的从事养老事业、养老产业的应用型管理人才。</w:t>
      </w:r>
    </w:p>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1"/>
        <w:gridCol w:w="1401"/>
        <w:gridCol w:w="2914"/>
      </w:tblGrid>
      <w:tr>
        <w:tc>
          <w:tcPr>
            <w:tcW w:w="3981" w:type="dxa"/>
          </w:tcPr>
          <w:p>
            <w:pPr>
              <w:jc w:val="center"/>
              <w:rPr>
                <w:sz w:val="21"/>
                <w:szCs w:val="21"/>
              </w:rPr>
            </w:pPr>
            <w:r>
              <w:rPr>
                <w:rFonts w:hint="eastAsia"/>
                <w:sz w:val="21"/>
                <w:szCs w:val="21"/>
              </w:rPr>
              <w:t>基地名称</w:t>
            </w:r>
          </w:p>
        </w:tc>
        <w:tc>
          <w:tcPr>
            <w:tcW w:w="1401" w:type="dxa"/>
          </w:tcPr>
          <w:p>
            <w:pPr>
              <w:jc w:val="center"/>
              <w:rPr>
                <w:sz w:val="21"/>
                <w:szCs w:val="21"/>
              </w:rPr>
            </w:pPr>
            <w:r>
              <w:rPr>
                <w:rFonts w:hint="eastAsia"/>
                <w:sz w:val="21"/>
                <w:szCs w:val="21"/>
              </w:rPr>
              <w:t>建立时间</w:t>
            </w:r>
          </w:p>
        </w:tc>
        <w:tc>
          <w:tcPr>
            <w:tcW w:w="2914" w:type="dxa"/>
          </w:tcPr>
          <w:p>
            <w:pPr>
              <w:jc w:val="center"/>
              <w:rPr>
                <w:sz w:val="21"/>
                <w:szCs w:val="21"/>
              </w:rPr>
            </w:pPr>
            <w:r>
              <w:rPr>
                <w:rFonts w:hint="eastAsia"/>
                <w:sz w:val="21"/>
                <w:szCs w:val="21"/>
              </w:rPr>
              <w:t>当年接纳学生总数（人次）</w:t>
            </w:r>
          </w:p>
        </w:tc>
      </w:tr>
      <w:tr>
        <w:tc>
          <w:tcPr>
            <w:tcW w:w="3981" w:type="dxa"/>
            <w:vAlign w:val="center"/>
          </w:tcPr>
          <w:p>
            <w:pPr>
              <w:jc w:val="center"/>
              <w:rPr>
                <w:sz w:val="20"/>
                <w:szCs w:val="20"/>
              </w:rPr>
            </w:pPr>
            <w:r>
              <w:rPr>
                <w:sz w:val="20"/>
                <w:szCs w:val="20"/>
              </w:rPr>
              <w:t>上海人寿堂养老服务(集团)有限公司</w:t>
            </w:r>
          </w:p>
        </w:tc>
        <w:tc>
          <w:tcPr>
            <w:tcW w:w="1401" w:type="dxa"/>
            <w:vAlign w:val="center"/>
          </w:tcPr>
          <w:p>
            <w:pPr>
              <w:jc w:val="center"/>
              <w:rPr>
                <w:sz w:val="20"/>
                <w:szCs w:val="20"/>
              </w:rPr>
            </w:pPr>
            <w:r>
              <w:rPr>
                <w:sz w:val="20"/>
                <w:szCs w:val="20"/>
              </w:rPr>
              <w:t>2020</w:t>
            </w:r>
          </w:p>
        </w:tc>
        <w:tc>
          <w:tcPr>
            <w:tcW w:w="2914" w:type="dxa"/>
            <w:vAlign w:val="center"/>
          </w:tcPr>
          <w:p>
            <w:pPr>
              <w:jc w:val="center"/>
              <w:rPr>
                <w:sz w:val="20"/>
                <w:szCs w:val="20"/>
              </w:rPr>
            </w:pPr>
            <w:r>
              <w:rPr>
                <w:sz w:val="20"/>
                <w:szCs w:val="20"/>
              </w:rPr>
              <w:t>30</w:t>
            </w:r>
            <w:bookmarkStart w:id="80" w:name="OLE_LINK50"/>
            <w:bookmarkEnd w:id="80"/>
          </w:p>
        </w:tc>
      </w:tr>
      <w:tr>
        <w:tc>
          <w:tcPr>
            <w:tcW w:w="3981" w:type="dxa"/>
            <w:vAlign w:val="center"/>
          </w:tcPr>
          <w:p>
            <w:pPr>
              <w:jc w:val="center"/>
              <w:rPr>
                <w:sz w:val="20"/>
                <w:szCs w:val="20"/>
              </w:rPr>
            </w:pPr>
            <w:r>
              <w:rPr>
                <w:sz w:val="20"/>
              </w:rPr>
              <w:t>上海万宏工业投资（集团）有限公司</w:t>
            </w:r>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30</w:t>
            </w:r>
          </w:p>
        </w:tc>
      </w:tr>
      <w:tr>
        <w:tc>
          <w:tcPr>
            <w:tcW w:w="3981" w:type="dxa"/>
            <w:vAlign w:val="center"/>
          </w:tcPr>
          <w:p>
            <w:pPr>
              <w:jc w:val="center"/>
              <w:rPr>
                <w:sz w:val="20"/>
                <w:szCs w:val="20"/>
              </w:rPr>
            </w:pPr>
            <w:r>
              <w:rPr>
                <w:sz w:val="20"/>
              </w:rPr>
              <w:t>上海九如城企业(集团)有限公司</w:t>
            </w:r>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30</w:t>
            </w:r>
          </w:p>
        </w:tc>
      </w:tr>
      <w:tr>
        <w:tc>
          <w:tcPr>
            <w:tcW w:w="3981" w:type="dxa"/>
            <w:vAlign w:val="center"/>
          </w:tcPr>
          <w:p>
            <w:pPr>
              <w:jc w:val="center"/>
              <w:rPr>
                <w:sz w:val="20"/>
                <w:szCs w:val="20"/>
              </w:rPr>
            </w:pPr>
            <w:r>
              <w:rPr>
                <w:sz w:val="20"/>
              </w:rPr>
              <w:t>上海市长宁区仙霞街道</w:t>
            </w:r>
          </w:p>
        </w:tc>
        <w:tc>
          <w:tcPr>
            <w:tcW w:w="1401" w:type="dxa"/>
            <w:vAlign w:val="center"/>
          </w:tcPr>
          <w:p>
            <w:pPr>
              <w:jc w:val="center"/>
              <w:rPr>
                <w:sz w:val="20"/>
                <w:szCs w:val="20"/>
              </w:rPr>
            </w:pPr>
            <w:r>
              <w:rPr>
                <w:sz w:val="20"/>
              </w:rPr>
              <w:t>2020</w:t>
            </w:r>
          </w:p>
        </w:tc>
        <w:tc>
          <w:tcPr>
            <w:tcW w:w="2914" w:type="dxa"/>
            <w:vAlign w:val="center"/>
          </w:tcPr>
          <w:p>
            <w:pPr>
              <w:jc w:val="center"/>
              <w:rPr>
                <w:sz w:val="20"/>
                <w:szCs w:val="20"/>
              </w:rPr>
            </w:pPr>
            <w:r>
              <w:rPr>
                <w:sz w:val="20"/>
              </w:rPr>
              <w:t>30</w:t>
            </w:r>
          </w:p>
        </w:tc>
      </w:tr>
      <w:tr>
        <w:tc>
          <w:tcPr>
            <w:tcW w:w="3981" w:type="dxa"/>
            <w:vAlign w:val="center"/>
          </w:tcPr>
          <w:p>
            <w:pPr>
              <w:jc w:val="center"/>
              <w:rPr>
                <w:sz w:val="20"/>
                <w:szCs w:val="20"/>
              </w:rPr>
            </w:pPr>
            <w:r>
              <w:rPr>
                <w:sz w:val="20"/>
              </w:rPr>
              <w:t>上海微能机器人科技有限公司</w:t>
            </w:r>
          </w:p>
        </w:tc>
        <w:tc>
          <w:tcPr>
            <w:tcW w:w="1401" w:type="dxa"/>
            <w:vAlign w:val="center"/>
          </w:tcPr>
          <w:p>
            <w:pPr>
              <w:jc w:val="center"/>
              <w:rPr>
                <w:sz w:val="20"/>
                <w:szCs w:val="20"/>
              </w:rPr>
            </w:pPr>
            <w:r>
              <w:rPr>
                <w:sz w:val="20"/>
              </w:rPr>
              <w:t>2022</w:t>
            </w:r>
          </w:p>
        </w:tc>
        <w:tc>
          <w:tcPr>
            <w:tcW w:w="2914" w:type="dxa"/>
            <w:vAlign w:val="center"/>
          </w:tcPr>
          <w:p>
            <w:pPr>
              <w:jc w:val="center"/>
              <w:rPr>
                <w:sz w:val="20"/>
                <w:szCs w:val="20"/>
              </w:rPr>
            </w:pPr>
            <w:r>
              <w:rPr>
                <w:sz w:val="20"/>
              </w:rPr>
              <w:t>10</w:t>
            </w:r>
          </w:p>
        </w:tc>
      </w:tr>
      <w:tr>
        <w:tc>
          <w:tcPr>
            <w:tcW w:w="3981" w:type="dxa"/>
            <w:vAlign w:val="center"/>
          </w:tcPr>
          <w:p>
            <w:pPr>
              <w:jc w:val="center"/>
              <w:rPr>
                <w:sz w:val="20"/>
              </w:rPr>
            </w:pPr>
            <w:r>
              <w:rPr>
                <w:sz w:val="20"/>
              </w:rPr>
              <w:t>国药康养实业（上海）有限公司</w:t>
            </w:r>
          </w:p>
        </w:tc>
        <w:tc>
          <w:tcPr>
            <w:tcW w:w="1401" w:type="dxa"/>
            <w:vAlign w:val="center"/>
          </w:tcPr>
          <w:p>
            <w:pPr>
              <w:jc w:val="center"/>
              <w:rPr>
                <w:sz w:val="20"/>
              </w:rPr>
            </w:pPr>
            <w:r>
              <w:rPr>
                <w:sz w:val="20"/>
              </w:rPr>
              <w:t>2023</w:t>
            </w:r>
          </w:p>
        </w:tc>
        <w:tc>
          <w:tcPr>
            <w:tcW w:w="2914" w:type="dxa"/>
            <w:vAlign w:val="center"/>
          </w:tcPr>
          <w:p>
            <w:pPr>
              <w:jc w:val="center"/>
              <w:rPr>
                <w:sz w:val="20"/>
              </w:rPr>
            </w:pPr>
            <w:r>
              <w:rPr>
                <w:sz w:val="20"/>
              </w:rPr>
              <w:t>20</w:t>
            </w:r>
          </w:p>
        </w:tc>
      </w:tr>
      <w:tr>
        <w:tc>
          <w:tcPr>
            <w:tcW w:w="3981" w:type="dxa"/>
            <w:vAlign w:val="center"/>
          </w:tcPr>
          <w:p>
            <w:pPr>
              <w:jc w:val="center"/>
              <w:rPr>
                <w:sz w:val="20"/>
              </w:rPr>
            </w:pPr>
            <w:r>
              <w:rPr>
                <w:sz w:val="20"/>
              </w:rPr>
              <w:t>泰康之家申园（上海）养老服务有限公司</w:t>
            </w:r>
          </w:p>
        </w:tc>
        <w:tc>
          <w:tcPr>
            <w:tcW w:w="1401" w:type="dxa"/>
            <w:vAlign w:val="center"/>
          </w:tcPr>
          <w:p>
            <w:pPr>
              <w:jc w:val="center"/>
              <w:rPr>
                <w:sz w:val="20"/>
              </w:rPr>
            </w:pPr>
            <w:r>
              <w:rPr>
                <w:rFonts w:hint="eastAsia"/>
                <w:sz w:val="20"/>
              </w:rPr>
              <w:t>2</w:t>
            </w:r>
            <w:r>
              <w:rPr>
                <w:sz w:val="20"/>
              </w:rPr>
              <w:t>023</w:t>
            </w:r>
          </w:p>
        </w:tc>
        <w:tc>
          <w:tcPr>
            <w:tcW w:w="2914" w:type="dxa"/>
            <w:vAlign w:val="center"/>
          </w:tcPr>
          <w:p>
            <w:pPr>
              <w:jc w:val="center"/>
              <w:rPr>
                <w:sz w:val="20"/>
              </w:rPr>
            </w:pPr>
            <w:r>
              <w:rPr>
                <w:sz w:val="20"/>
              </w:rPr>
              <w:t>20</w:t>
            </w:r>
          </w:p>
        </w:tc>
      </w:tr>
    </w:tbl>
    <w:p>
      <w:pPr>
        <w:widowControl w:val="0"/>
        <w:spacing w:line="360" w:lineRule="auto"/>
      </w:pPr>
    </w:p>
    <w:p>
      <w:pPr>
        <w:pStyle w:val="3"/>
        <w:spacing w:after="120" w:line="415" w:lineRule="auto"/>
        <w:jc w:val="left"/>
        <w:rPr>
          <w:rFonts w:ascii="宋体" w:hAnsi="宋体"/>
          <w:b w:val="0"/>
          <w:bCs w:val="0"/>
          <w:sz w:val="28"/>
          <w:szCs w:val="28"/>
        </w:rPr>
      </w:pPr>
      <w:bookmarkStart w:id="81" w:name="_Toc154735786"/>
      <w:r>
        <w:rPr>
          <w:rFonts w:ascii="宋体" w:hAnsi="宋体"/>
          <w:b w:val="0"/>
          <w:bCs w:val="0"/>
          <w:sz w:val="28"/>
          <w:szCs w:val="28"/>
        </w:rPr>
        <w:t>6.质量保障</w:t>
      </w:r>
      <w:bookmarkEnd w:id="81"/>
      <w:r>
        <w:rPr>
          <w:rFonts w:ascii="宋体" w:hAnsi="宋体"/>
          <w:b w:val="0"/>
          <w:bCs w:val="0"/>
          <w:sz w:val="28"/>
          <w:szCs w:val="28"/>
        </w:rPr>
        <w:t xml:space="preserve"> </w:t>
      </w:r>
    </w:p>
    <w:p>
      <w:pPr>
        <w:pStyle w:val="4"/>
        <w:rPr>
          <w:rFonts w:ascii="宋体" w:hAnsi="宋体" w:eastAsia="宋体"/>
          <w:b w:val="0"/>
          <w:bCs w:val="0"/>
          <w:sz w:val="24"/>
          <w:szCs w:val="24"/>
        </w:rPr>
      </w:pPr>
      <w:bookmarkStart w:id="82" w:name="_Toc154735787"/>
      <w:r>
        <w:rPr>
          <w:rFonts w:ascii="宋体" w:hAnsi="宋体" w:eastAsia="宋体"/>
          <w:b w:val="0"/>
          <w:bCs w:val="0"/>
          <w:sz w:val="24"/>
          <w:szCs w:val="24"/>
        </w:rPr>
        <w:t>6.1质量保障体系</w:t>
      </w:r>
      <w:bookmarkEnd w:id="82"/>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本专业严格遵照学校制定的行政负责制的校级质量管理体系和院（部）级质量管理体系。学校于2014年公开发布了《上海工程技术大学2013年度本科教学质量报告》，分析2013年学校本科教学质量的基本现状和主要问题。根据市教委的相关要求，建立了“专业质量报告制度”，开始定期发布专业质量报告。构建了校、院、系三级教学管理体系，建立了一系列教学管理规章制度，以及完整、有序的教学运行管理机制，以保障教学工作的制度化、规范化。</w:t>
      </w:r>
      <w:r>
        <w:rPr>
          <w:rFonts w:hint="eastAsia" w:ascii="仿宋" w:hAnsi="仿宋" w:eastAsia="仿宋" w:cstheme="minorBidi"/>
          <w:kern w:val="2"/>
        </w:rPr>
        <w:t>学校深入贯彻习近平总书记关于教育的重要论述和全国教育大会精神；以落实立德树人根本任务、办人民满意的教育为基本目标，构建了“宏观-中观-微观”三个层次的人才培养质量监控体系。在此基础上，引入了基于“监测-评价-反馈-改进”的闭环质量管理理念，形成了校、院、专业三级教育教学质量保障体系，</w:t>
      </w:r>
    </w:p>
    <w:p>
      <w:pPr>
        <w:widowControl w:val="0"/>
        <w:spacing w:line="360" w:lineRule="auto"/>
        <w:ind w:firstLine="480" w:firstLineChars="200"/>
        <w:rPr>
          <w:rFonts w:ascii="仿宋" w:hAnsi="仿宋" w:eastAsia="仿宋" w:cstheme="minorBidi"/>
          <w:kern w:val="2"/>
        </w:rPr>
      </w:pPr>
      <w:bookmarkStart w:id="83" w:name="_Toc13364"/>
      <w:bookmarkStart w:id="84" w:name="_Toc27541"/>
      <w:bookmarkStart w:id="85" w:name="_Toc103892201"/>
      <w:bookmarkStart w:id="86" w:name="_Toc62119334"/>
      <w:r>
        <w:rPr>
          <w:rFonts w:ascii="仿宋" w:hAnsi="仿宋" w:eastAsia="仿宋" w:cstheme="minorBidi"/>
          <w:kern w:val="2"/>
        </w:rPr>
        <w:t>（1）建立了专门的教学质量保障机构</w:t>
      </w:r>
      <w:bookmarkEnd w:id="83"/>
      <w:bookmarkEnd w:id="84"/>
      <w:bookmarkEnd w:id="85"/>
      <w:bookmarkEnd w:id="86"/>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学校建立了由主管教学校长担任组长、教务处、各学院院长担任组员的教学质量保障机构，由教务处教学质量科负责具体的管理工作安排。设有教学指导委员会、教学督导组等，对各院系的教学工作进行全面监督、检查和指导。</w:t>
      </w:r>
      <w:r>
        <w:rPr>
          <w:rFonts w:hint="eastAsia" w:ascii="仿宋" w:hAnsi="仿宋" w:eastAsia="仿宋" w:cstheme="minorBidi"/>
          <w:kern w:val="2"/>
        </w:rPr>
        <w:t>在校级教学质量保障机构的指导下，本专业建立起了以院长负责、教学副院长----系主任/专业负责人/分管教学副主任----老师/教学秘书组成的自上而下的教学质量保障队伍，高效完成了各类教学工作。</w:t>
      </w:r>
    </w:p>
    <w:p>
      <w:pPr>
        <w:widowControl w:val="0"/>
        <w:spacing w:line="360" w:lineRule="auto"/>
        <w:ind w:firstLine="480" w:firstLineChars="200"/>
        <w:rPr>
          <w:rFonts w:ascii="仿宋" w:hAnsi="仿宋" w:eastAsia="仿宋" w:cstheme="minorBidi"/>
          <w:kern w:val="2"/>
        </w:rPr>
      </w:pPr>
      <w:bookmarkStart w:id="87" w:name="_Toc24524"/>
      <w:bookmarkStart w:id="88" w:name="_Toc32496"/>
      <w:bookmarkStart w:id="89" w:name="_Toc62119335"/>
      <w:bookmarkStart w:id="90" w:name="_Toc103892202"/>
      <w:r>
        <w:rPr>
          <w:rFonts w:ascii="仿宋" w:hAnsi="仿宋" w:eastAsia="仿宋" w:cstheme="minorBidi"/>
          <w:kern w:val="2"/>
        </w:rPr>
        <w:t>（2）完善的教学质量监控机制</w:t>
      </w:r>
      <w:bookmarkEnd w:id="87"/>
      <w:bookmarkEnd w:id="88"/>
      <w:bookmarkEnd w:id="89"/>
      <w:bookmarkEnd w:id="90"/>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学校和学院依据自身定位和人才培养目标，建立起了涵盖专业建设、课程建设、理论教学、实践教学（实验、实习、社会实践、课程设计、毕业论文或设计等）等本科教学各环节的质量标准，构建了目标与过程并重的本科教学质量监控体系，通过两级督导、三级保障模式有效运行，形成良性循环，对保障教学质量起到了重要的积极作用。</w:t>
      </w:r>
    </w:p>
    <w:p>
      <w:pPr>
        <w:widowControl w:val="0"/>
        <w:spacing w:line="360" w:lineRule="auto"/>
        <w:ind w:firstLine="480" w:firstLineChars="200"/>
        <w:rPr>
          <w:rFonts w:ascii="仿宋" w:hAnsi="仿宋" w:eastAsia="仿宋" w:cstheme="minorBidi"/>
          <w:kern w:val="2"/>
        </w:rPr>
      </w:pPr>
      <w:bookmarkStart w:id="91" w:name="_Toc11815"/>
      <w:bookmarkStart w:id="92" w:name="_Toc62119336"/>
      <w:bookmarkStart w:id="93" w:name="_Toc103892203"/>
      <w:bookmarkStart w:id="94" w:name="_Toc26326"/>
      <w:r>
        <w:rPr>
          <w:rFonts w:ascii="仿宋" w:hAnsi="仿宋" w:eastAsia="仿宋" w:cstheme="minorBidi"/>
          <w:kern w:val="2"/>
        </w:rPr>
        <w:t>（3）本专业的人才培养质量监控机制</w:t>
      </w:r>
      <w:bookmarkEnd w:id="91"/>
      <w:bookmarkEnd w:id="92"/>
      <w:bookmarkEnd w:id="93"/>
      <w:bookmarkEnd w:id="94"/>
    </w:p>
    <w:p>
      <w:pPr>
        <w:widowControl w:val="0"/>
        <w:spacing w:line="360" w:lineRule="auto"/>
        <w:ind w:firstLine="480" w:firstLineChars="200"/>
        <w:rPr>
          <w:rFonts w:ascii="Times New Roman" w:hAnsi="Times New Roman" w:eastAsia="Times New Roman" w:cs="Times New Roman"/>
        </w:rPr>
      </w:pPr>
      <w:r>
        <w:rPr>
          <w:rFonts w:ascii="仿宋" w:hAnsi="仿宋" w:eastAsia="仿宋" w:cstheme="minorBidi"/>
          <w:kern w:val="2"/>
        </w:rPr>
        <w:t>在专业建设发展过程中，</w:t>
      </w:r>
      <w:r>
        <w:rPr>
          <w:rFonts w:hint="eastAsia" w:ascii="仿宋" w:hAnsi="仿宋" w:eastAsia="仿宋" w:cstheme="minorBidi"/>
          <w:kern w:val="2"/>
        </w:rPr>
        <w:t>工商管理</w:t>
      </w:r>
      <w:r>
        <w:rPr>
          <w:rFonts w:ascii="仿宋" w:hAnsi="仿宋" w:eastAsia="仿宋" w:cstheme="minorBidi"/>
          <w:kern w:val="2"/>
        </w:rPr>
        <w:t>系构建了以师资培养为支撑、以理论知识体系和实践知识体系为两翼的人才培养模式。通过互相听课、教学检查、学生评教、考试、学生座谈反馈等实现教学过程质量的保障。</w:t>
      </w:r>
    </w:p>
    <w:p>
      <w:pPr>
        <w:pStyle w:val="4"/>
        <w:rPr>
          <w:rFonts w:ascii="宋体" w:hAnsi="宋体" w:eastAsia="宋体"/>
          <w:b w:val="0"/>
          <w:bCs w:val="0"/>
          <w:sz w:val="24"/>
          <w:szCs w:val="24"/>
        </w:rPr>
      </w:pPr>
      <w:bookmarkStart w:id="95" w:name="_Toc154735788"/>
      <w:r>
        <w:rPr>
          <w:rFonts w:ascii="宋体" w:hAnsi="宋体" w:eastAsia="宋体"/>
          <w:b w:val="0"/>
          <w:bCs w:val="0"/>
          <w:sz w:val="24"/>
          <w:szCs w:val="24"/>
        </w:rPr>
        <w:t>6.2</w:t>
      </w:r>
      <w:r>
        <w:rPr>
          <w:rFonts w:hint="eastAsia" w:ascii="宋体" w:hAnsi="宋体" w:eastAsia="宋体"/>
          <w:b w:val="0"/>
          <w:bCs w:val="0"/>
          <w:sz w:val="24"/>
          <w:szCs w:val="24"/>
        </w:rPr>
        <w:t>质量监控制度及实施办法</w:t>
      </w:r>
      <w:bookmarkEnd w:id="95"/>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完善了教学质量监控体系，对课堂教学结果反馈，例如督导听课、领导听课、同行听课、学生评教等情况做到实时掌握，有错必纠；对课堂后教学情况，例如试卷及教学资料检查情况等进行实时检查，并参照教师学生座谈会情况及时高效掌握学生反馈，在教学质量月活动中对全体教师进行普查，在学生学习与就业满意度调查等中查看教学相关情况。</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在 202</w:t>
      </w:r>
      <w:r>
        <w:rPr>
          <w:rFonts w:ascii="仿宋" w:hAnsi="仿宋" w:eastAsia="仿宋" w:cstheme="minorBidi"/>
          <w:kern w:val="2"/>
        </w:rPr>
        <w:t>3</w:t>
      </w:r>
      <w:r>
        <w:rPr>
          <w:rFonts w:hint="eastAsia" w:ascii="仿宋" w:hAnsi="仿宋" w:eastAsia="仿宋" w:cstheme="minorBidi"/>
          <w:kern w:val="2"/>
        </w:rPr>
        <w:t xml:space="preserve"> 年下半年学校迎来了教育部新一轮本科教学评估，本专业团队全程积极参与本轮教学评估全过程，主要</w:t>
      </w:r>
      <w:r>
        <w:rPr>
          <w:rFonts w:ascii="仿宋" w:hAnsi="仿宋" w:eastAsia="仿宋" w:cstheme="minorBidi"/>
          <w:kern w:val="2"/>
        </w:rPr>
        <w:t>包括评估申请、学校自评、专家评审、反馈结论、限期整改、督导复查等评估程序。</w:t>
      </w:r>
      <w:r>
        <w:rPr>
          <w:rFonts w:hint="eastAsia" w:ascii="仿宋" w:hAnsi="仿宋" w:eastAsia="仿宋" w:cstheme="minorBidi"/>
          <w:kern w:val="2"/>
        </w:rPr>
        <w:t>学校</w:t>
      </w:r>
      <w:r>
        <w:rPr>
          <w:rFonts w:ascii="仿宋" w:hAnsi="仿宋" w:eastAsia="仿宋" w:cstheme="minorBidi"/>
          <w:kern w:val="2"/>
        </w:rPr>
        <w:t>以评估为改革创新的契机，</w:t>
      </w:r>
      <w:r>
        <w:rPr>
          <w:rFonts w:hint="eastAsia" w:ascii="仿宋" w:hAnsi="仿宋" w:eastAsia="仿宋" w:cstheme="minorBidi"/>
          <w:kern w:val="2"/>
        </w:rPr>
        <w:t>无论是在评估前、评估过程中还是评估后，学校每两周对督导线上巡课情况撰写报告并督导教学建议及时反馈各教学单位，不断完善质量检查、反馈、改进和提升的闭环运行机制，有效保障了教学质量。</w:t>
      </w:r>
      <w:r>
        <w:rPr>
          <w:rFonts w:ascii="仿宋" w:hAnsi="仿宋" w:eastAsia="仿宋" w:cstheme="minorBidi"/>
          <w:kern w:val="2"/>
        </w:rPr>
        <w:t>认真整改落实专家提出的宝贵建议，真正落实“以评促建、以评促改、以评促强”，使专业</w:t>
      </w:r>
      <w:r>
        <w:rPr>
          <w:rFonts w:hint="eastAsia" w:ascii="仿宋" w:hAnsi="仿宋" w:eastAsia="仿宋" w:cstheme="minorBidi"/>
          <w:kern w:val="2"/>
        </w:rPr>
        <w:t>课程</w:t>
      </w:r>
      <w:r>
        <w:rPr>
          <w:rFonts w:ascii="仿宋" w:hAnsi="仿宋" w:eastAsia="仿宋" w:cstheme="minorBidi"/>
          <w:kern w:val="2"/>
        </w:rPr>
        <w:t>建设</w:t>
      </w:r>
      <w:r>
        <w:rPr>
          <w:rFonts w:hint="eastAsia" w:ascii="仿宋" w:hAnsi="仿宋" w:eastAsia="仿宋" w:cstheme="minorBidi"/>
          <w:kern w:val="2"/>
        </w:rPr>
        <w:t>再</w:t>
      </w:r>
      <w:r>
        <w:rPr>
          <w:rFonts w:ascii="仿宋" w:hAnsi="仿宋" w:eastAsia="仿宋" w:cstheme="minorBidi"/>
          <w:kern w:val="2"/>
        </w:rPr>
        <w:t>上台阶。</w:t>
      </w:r>
      <w:r>
        <w:rPr>
          <w:rFonts w:hint="eastAsia" w:ascii="仿宋" w:hAnsi="仿宋" w:eastAsia="仿宋" w:cstheme="minorBidi"/>
          <w:kern w:val="2"/>
        </w:rPr>
        <w:t>自2</w:t>
      </w:r>
      <w:r>
        <w:rPr>
          <w:rFonts w:ascii="仿宋" w:hAnsi="仿宋" w:eastAsia="仿宋" w:cstheme="minorBidi"/>
          <w:kern w:val="2"/>
        </w:rPr>
        <w:t>020</w:t>
      </w:r>
      <w:r>
        <w:rPr>
          <w:rFonts w:hint="eastAsia" w:ascii="仿宋" w:hAnsi="仿宋" w:eastAsia="仿宋" w:cstheme="minorBidi"/>
          <w:kern w:val="2"/>
        </w:rPr>
        <w:t>年本专业开设以来，专业课程教学满意度稳定，教学质量标准和教学水平不断提高。</w:t>
      </w:r>
    </w:p>
    <w:p>
      <w:pPr>
        <w:pStyle w:val="4"/>
        <w:rPr>
          <w:rFonts w:ascii="宋体" w:hAnsi="宋体" w:eastAsia="宋体"/>
          <w:b w:val="0"/>
          <w:bCs w:val="0"/>
          <w:sz w:val="24"/>
          <w:szCs w:val="24"/>
        </w:rPr>
      </w:pPr>
      <w:bookmarkStart w:id="96" w:name="_Toc154735789"/>
      <w:r>
        <w:rPr>
          <w:rFonts w:ascii="宋体" w:hAnsi="宋体" w:eastAsia="宋体"/>
          <w:b w:val="0"/>
          <w:bCs w:val="0"/>
          <w:sz w:val="24"/>
          <w:szCs w:val="24"/>
        </w:rPr>
        <w:t>6.3</w:t>
      </w:r>
      <w:r>
        <w:rPr>
          <w:rFonts w:hint="eastAsia" w:ascii="宋体" w:hAnsi="宋体" w:eastAsia="宋体"/>
          <w:b w:val="0"/>
          <w:bCs w:val="0"/>
          <w:sz w:val="24"/>
          <w:szCs w:val="24"/>
        </w:rPr>
        <w:t>质量评估反馈及持续改进</w:t>
      </w:r>
      <w:bookmarkEnd w:id="96"/>
      <w:r>
        <w:rPr>
          <w:rFonts w:hint="eastAsia" w:ascii="宋体" w:hAnsi="宋体" w:eastAsia="宋体"/>
          <w:b w:val="0"/>
          <w:bCs w:val="0"/>
          <w:sz w:val="24"/>
          <w:szCs w:val="24"/>
        </w:rPr>
        <w:t xml:space="preserve"> </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教师在课程结束且进行评学评教后会及时查看学生的文字评教，针对学生提出的问题及要求有则改之无则加勉，进一步改进自己的授课，让学生更好地获得知识；本专业也会综合前述各类听课例如督导反馈的意见、师生反馈的意见等，针对个别老师个别约谈，补齐短板；此外，实时掌握毕业要求和培养目标的达成情况，未来对于毕业生的调研也将是本专业教学质量评估的一大重点。</w:t>
      </w:r>
    </w:p>
    <w:p>
      <w:pPr>
        <w:pStyle w:val="4"/>
        <w:rPr>
          <w:rFonts w:ascii="宋体" w:hAnsi="宋体" w:eastAsia="宋体"/>
          <w:b w:val="0"/>
          <w:bCs w:val="0"/>
          <w:sz w:val="24"/>
          <w:szCs w:val="24"/>
        </w:rPr>
      </w:pPr>
      <w:bookmarkStart w:id="97" w:name="_Toc154735790"/>
      <w:r>
        <w:rPr>
          <w:rFonts w:ascii="宋体" w:hAnsi="宋体" w:eastAsia="宋体"/>
          <w:b w:val="0"/>
          <w:bCs w:val="0"/>
          <w:sz w:val="24"/>
          <w:szCs w:val="24"/>
        </w:rPr>
        <w:t>6.4</w:t>
      </w:r>
      <w:r>
        <w:rPr>
          <w:rFonts w:hint="eastAsia" w:ascii="宋体" w:hAnsi="宋体" w:eastAsia="宋体"/>
          <w:b w:val="0"/>
          <w:bCs w:val="0"/>
          <w:sz w:val="24"/>
          <w:szCs w:val="24"/>
        </w:rPr>
        <w:t>在校生与毕业生满意度</w:t>
      </w:r>
      <w:bookmarkEnd w:id="97"/>
      <w:r>
        <w:rPr>
          <w:rFonts w:hint="eastAsia" w:ascii="宋体" w:hAnsi="宋体" w:eastAsia="宋体"/>
          <w:b w:val="0"/>
          <w:bCs w:val="0"/>
          <w:sz w:val="24"/>
          <w:szCs w:val="24"/>
        </w:rPr>
        <w:t xml:space="preserve"> </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2023届本科毕业生</w:t>
      </w:r>
      <w:r>
        <w:rPr>
          <w:rFonts w:hint="eastAsia" w:ascii="仿宋" w:hAnsi="仿宋" w:eastAsia="仿宋" w:cstheme="minorBidi"/>
          <w:kern w:val="2"/>
        </w:rPr>
        <w:t>是本专业的第一届毕业生，自2</w:t>
      </w:r>
      <w:r>
        <w:rPr>
          <w:rFonts w:ascii="仿宋" w:hAnsi="仿宋" w:eastAsia="仿宋" w:cstheme="minorBidi"/>
          <w:kern w:val="2"/>
        </w:rPr>
        <w:t>020</w:t>
      </w:r>
      <w:r>
        <w:rPr>
          <w:rFonts w:hint="eastAsia" w:ascii="仿宋" w:hAnsi="仿宋" w:eastAsia="仿宋" w:cstheme="minorBidi"/>
          <w:kern w:val="2"/>
        </w:rPr>
        <w:t>年本专业开设以来来，在校生和本届第一届毕业生对</w:t>
      </w:r>
      <w:r>
        <w:rPr>
          <w:rFonts w:ascii="仿宋" w:hAnsi="仿宋" w:eastAsia="仿宋" w:cstheme="minorBidi"/>
          <w:kern w:val="2"/>
        </w:rPr>
        <w:t>学校本科教育的满意程度整体处于较高水平。</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此外，2023届本科毕业生还对所调查的项目提出了积极意见和建议，比如学生希望进一步优化课程体系设置，加强校企合作，多开设一些实践类的课程，增加更多参与学科竞赛和教师科研项目的机会，提供更多的高质量的国际化资源，及时修缮宿舍基础设施，保障住宿环境，加强食堂</w:t>
      </w:r>
      <w:r>
        <w:rPr>
          <w:rFonts w:hint="eastAsia" w:ascii="仿宋" w:hAnsi="仿宋" w:eastAsia="仿宋" w:cstheme="minorBidi"/>
          <w:kern w:val="2"/>
        </w:rPr>
        <w:t>管理</w:t>
      </w:r>
      <w:r>
        <w:rPr>
          <w:rFonts w:ascii="仿宋" w:hAnsi="仿宋" w:eastAsia="仿宋" w:cstheme="minorBidi"/>
          <w:kern w:val="2"/>
        </w:rPr>
        <w:t>、商店价格管理，优化业务办理流程，加强职业规划课程和心理咨询指导等。</w:t>
      </w:r>
    </w:p>
    <w:p>
      <w:pPr>
        <w:pStyle w:val="3"/>
        <w:spacing w:after="120" w:line="415" w:lineRule="auto"/>
        <w:jc w:val="left"/>
        <w:rPr>
          <w:rFonts w:ascii="宋体" w:hAnsi="宋体"/>
          <w:b w:val="0"/>
          <w:bCs w:val="0"/>
          <w:sz w:val="28"/>
          <w:szCs w:val="28"/>
        </w:rPr>
      </w:pPr>
      <w:bookmarkStart w:id="98" w:name="_Toc154735791"/>
      <w:r>
        <w:rPr>
          <w:rFonts w:ascii="宋体" w:hAnsi="宋体"/>
          <w:b w:val="0"/>
          <w:bCs w:val="0"/>
          <w:sz w:val="28"/>
          <w:szCs w:val="28"/>
        </w:rPr>
        <w:t>7.</w:t>
      </w:r>
      <w:r>
        <w:rPr>
          <w:rFonts w:hint="eastAsia" w:ascii="宋体" w:hAnsi="宋体"/>
          <w:b w:val="0"/>
          <w:bCs w:val="0"/>
          <w:sz w:val="28"/>
          <w:szCs w:val="28"/>
        </w:rPr>
        <w:t>学生发展</w:t>
      </w:r>
      <w:bookmarkEnd w:id="98"/>
    </w:p>
    <w:p>
      <w:pPr>
        <w:pStyle w:val="4"/>
        <w:rPr>
          <w:rFonts w:ascii="宋体" w:hAnsi="宋体" w:eastAsia="宋体"/>
          <w:b w:val="0"/>
          <w:bCs w:val="0"/>
          <w:sz w:val="24"/>
          <w:szCs w:val="24"/>
        </w:rPr>
      </w:pPr>
      <w:bookmarkStart w:id="99" w:name="_TOC_250024"/>
      <w:bookmarkEnd w:id="99"/>
      <w:bookmarkStart w:id="100" w:name="_Toc154735792"/>
      <w:r>
        <w:rPr>
          <w:rFonts w:ascii="宋体" w:hAnsi="宋体" w:eastAsia="宋体"/>
          <w:b w:val="0"/>
          <w:bCs w:val="0"/>
          <w:sz w:val="24"/>
          <w:szCs w:val="24"/>
        </w:rPr>
        <w:t>7.1</w:t>
      </w:r>
      <w:r>
        <w:rPr>
          <w:rFonts w:hint="eastAsia" w:ascii="宋体" w:hAnsi="宋体" w:eastAsia="宋体"/>
          <w:b w:val="0"/>
          <w:bCs w:val="0"/>
          <w:sz w:val="24"/>
          <w:szCs w:val="24"/>
        </w:rPr>
        <w:t>本科在校生数量基本情况</w:t>
      </w:r>
      <w:bookmarkEnd w:id="100"/>
      <w:r>
        <w:rPr>
          <w:rFonts w:hint="eastAsia" w:ascii="宋体" w:hAnsi="宋体" w:eastAsia="宋体"/>
          <w:b w:val="0"/>
          <w:bCs w:val="0"/>
          <w:sz w:val="24"/>
          <w:szCs w:val="24"/>
        </w:rPr>
        <w:t xml:space="preserve"> </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养老服务管理专业从2020年开始招生，目前专业在校学生总数152人，无留学生、港澳台学生，其中转专业进来2人。各年级人数分布详见下表。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c>
          <w:tcPr>
            <w:tcW w:w="4148" w:type="dxa"/>
            <w:vAlign w:val="center"/>
          </w:tcPr>
          <w:p>
            <w:pPr>
              <w:jc w:val="center"/>
              <w:rPr>
                <w:sz w:val="21"/>
                <w:szCs w:val="21"/>
              </w:rPr>
            </w:pPr>
            <w:r>
              <w:rPr>
                <w:rFonts w:hint="eastAsia"/>
                <w:sz w:val="21"/>
                <w:szCs w:val="21"/>
              </w:rPr>
              <w:t>项目</w:t>
            </w:r>
          </w:p>
        </w:tc>
        <w:tc>
          <w:tcPr>
            <w:tcW w:w="4148" w:type="dxa"/>
            <w:vAlign w:val="center"/>
          </w:tcPr>
          <w:p>
            <w:pPr>
              <w:jc w:val="center"/>
              <w:rPr>
                <w:sz w:val="21"/>
                <w:szCs w:val="21"/>
              </w:rPr>
            </w:pPr>
            <w:r>
              <w:rPr>
                <w:rFonts w:hint="eastAsia"/>
                <w:sz w:val="21"/>
                <w:szCs w:val="21"/>
              </w:rPr>
              <w:t>数量</w:t>
            </w:r>
          </w:p>
        </w:tc>
      </w:tr>
      <w:tr>
        <w:tc>
          <w:tcPr>
            <w:tcW w:w="4148" w:type="dxa"/>
            <w:vAlign w:val="center"/>
          </w:tcPr>
          <w:p>
            <w:pPr>
              <w:jc w:val="center"/>
              <w:rPr>
                <w:sz w:val="21"/>
                <w:szCs w:val="21"/>
              </w:rPr>
            </w:pPr>
            <w:r>
              <w:rPr>
                <w:rFonts w:hint="eastAsia"/>
                <w:sz w:val="21"/>
                <w:szCs w:val="21"/>
              </w:rPr>
              <w:t>本科生数</w:t>
            </w:r>
          </w:p>
        </w:tc>
        <w:tc>
          <w:tcPr>
            <w:tcW w:w="4148" w:type="dxa"/>
            <w:vAlign w:val="center"/>
          </w:tcPr>
          <w:p>
            <w:pPr>
              <w:jc w:val="center"/>
              <w:rPr>
                <w:sz w:val="21"/>
                <w:szCs w:val="21"/>
              </w:rPr>
            </w:pPr>
            <w:r>
              <w:rPr>
                <w:sz w:val="21"/>
                <w:szCs w:val="21"/>
              </w:rPr>
              <w:t>152</w:t>
            </w:r>
          </w:p>
        </w:tc>
      </w:tr>
      <w:tr>
        <w:tc>
          <w:tcPr>
            <w:tcW w:w="4148" w:type="dxa"/>
            <w:vAlign w:val="center"/>
          </w:tcPr>
          <w:p>
            <w:pPr>
              <w:jc w:val="center"/>
              <w:rPr>
                <w:sz w:val="21"/>
                <w:szCs w:val="21"/>
              </w:rPr>
            </w:pPr>
            <w:r>
              <w:rPr>
                <w:rFonts w:hint="eastAsia"/>
                <w:sz w:val="21"/>
                <w:szCs w:val="21"/>
              </w:rPr>
              <w:t>其中：留学生</w:t>
            </w:r>
          </w:p>
        </w:tc>
        <w:tc>
          <w:tcPr>
            <w:tcW w:w="4148" w:type="dxa"/>
            <w:vAlign w:val="center"/>
          </w:tcPr>
          <w:p>
            <w:pPr>
              <w:jc w:val="center"/>
              <w:rPr>
                <w:sz w:val="21"/>
                <w:szCs w:val="21"/>
              </w:rPr>
            </w:pPr>
            <w:r>
              <w:rPr>
                <w:sz w:val="21"/>
                <w:szCs w:val="21"/>
              </w:rPr>
              <w:t>0</w:t>
            </w:r>
          </w:p>
        </w:tc>
      </w:tr>
      <w:tr>
        <w:tc>
          <w:tcPr>
            <w:tcW w:w="4148" w:type="dxa"/>
            <w:vAlign w:val="center"/>
          </w:tcPr>
          <w:p>
            <w:pPr>
              <w:jc w:val="center"/>
              <w:rPr>
                <w:sz w:val="21"/>
                <w:szCs w:val="21"/>
              </w:rPr>
            </w:pPr>
            <w:r>
              <w:rPr>
                <w:rFonts w:hint="eastAsia"/>
                <w:sz w:val="21"/>
                <w:szCs w:val="21"/>
              </w:rPr>
              <w:t>港澳台侨学生</w:t>
            </w:r>
          </w:p>
        </w:tc>
        <w:tc>
          <w:tcPr>
            <w:tcW w:w="4148" w:type="dxa"/>
            <w:vAlign w:val="center"/>
          </w:tcPr>
          <w:p>
            <w:pPr>
              <w:jc w:val="center"/>
              <w:rPr>
                <w:sz w:val="21"/>
                <w:szCs w:val="21"/>
              </w:rPr>
            </w:pPr>
            <w:r>
              <w:rPr>
                <w:sz w:val="21"/>
                <w:szCs w:val="21"/>
              </w:rPr>
              <w:t>0</w:t>
            </w:r>
          </w:p>
        </w:tc>
      </w:tr>
      <w:tr>
        <w:tc>
          <w:tcPr>
            <w:tcW w:w="4148" w:type="dxa"/>
            <w:vAlign w:val="center"/>
          </w:tcPr>
          <w:p>
            <w:pPr>
              <w:jc w:val="center"/>
              <w:rPr>
                <w:sz w:val="21"/>
                <w:szCs w:val="21"/>
              </w:rPr>
            </w:pPr>
            <w:r>
              <w:rPr>
                <w:rFonts w:hint="eastAsia"/>
                <w:sz w:val="21"/>
                <w:szCs w:val="21"/>
              </w:rPr>
              <w:t>其中：一年级</w:t>
            </w:r>
          </w:p>
        </w:tc>
        <w:tc>
          <w:tcPr>
            <w:tcW w:w="4148" w:type="dxa"/>
            <w:vAlign w:val="center"/>
          </w:tcPr>
          <w:p>
            <w:pPr>
              <w:jc w:val="center"/>
              <w:rPr>
                <w:sz w:val="21"/>
                <w:szCs w:val="21"/>
              </w:rPr>
            </w:pPr>
            <w:r>
              <w:rPr>
                <w:sz w:val="21"/>
                <w:szCs w:val="21"/>
              </w:rPr>
              <w:t>39</w:t>
            </w:r>
          </w:p>
        </w:tc>
      </w:tr>
      <w:tr>
        <w:tc>
          <w:tcPr>
            <w:tcW w:w="4148" w:type="dxa"/>
            <w:vAlign w:val="center"/>
          </w:tcPr>
          <w:p>
            <w:pPr>
              <w:jc w:val="center"/>
              <w:rPr>
                <w:sz w:val="21"/>
                <w:szCs w:val="21"/>
              </w:rPr>
            </w:pPr>
            <w:r>
              <w:rPr>
                <w:rFonts w:hint="eastAsia"/>
                <w:sz w:val="21"/>
                <w:szCs w:val="21"/>
              </w:rPr>
              <w:t>二年级</w:t>
            </w:r>
          </w:p>
        </w:tc>
        <w:tc>
          <w:tcPr>
            <w:tcW w:w="4148" w:type="dxa"/>
            <w:vAlign w:val="center"/>
          </w:tcPr>
          <w:p>
            <w:pPr>
              <w:jc w:val="center"/>
              <w:rPr>
                <w:sz w:val="21"/>
                <w:szCs w:val="21"/>
              </w:rPr>
            </w:pPr>
            <w:r>
              <w:rPr>
                <w:sz w:val="21"/>
                <w:szCs w:val="21"/>
              </w:rPr>
              <w:t>40</w:t>
            </w:r>
          </w:p>
        </w:tc>
      </w:tr>
      <w:tr>
        <w:tc>
          <w:tcPr>
            <w:tcW w:w="4148" w:type="dxa"/>
            <w:vAlign w:val="center"/>
          </w:tcPr>
          <w:p>
            <w:pPr>
              <w:jc w:val="center"/>
              <w:rPr>
                <w:sz w:val="21"/>
                <w:szCs w:val="21"/>
              </w:rPr>
            </w:pPr>
            <w:r>
              <w:rPr>
                <w:rFonts w:hint="eastAsia"/>
                <w:sz w:val="21"/>
                <w:szCs w:val="21"/>
              </w:rPr>
              <w:t>三年级</w:t>
            </w:r>
          </w:p>
        </w:tc>
        <w:tc>
          <w:tcPr>
            <w:tcW w:w="4148" w:type="dxa"/>
            <w:vAlign w:val="center"/>
          </w:tcPr>
          <w:p>
            <w:pPr>
              <w:jc w:val="center"/>
              <w:rPr>
                <w:sz w:val="21"/>
                <w:szCs w:val="21"/>
              </w:rPr>
            </w:pPr>
            <w:r>
              <w:rPr>
                <w:sz w:val="21"/>
                <w:szCs w:val="21"/>
              </w:rPr>
              <w:t>41</w:t>
            </w:r>
          </w:p>
        </w:tc>
      </w:tr>
      <w:tr>
        <w:tc>
          <w:tcPr>
            <w:tcW w:w="4148" w:type="dxa"/>
            <w:vAlign w:val="center"/>
          </w:tcPr>
          <w:p>
            <w:pPr>
              <w:jc w:val="center"/>
              <w:rPr>
                <w:sz w:val="21"/>
                <w:szCs w:val="21"/>
              </w:rPr>
            </w:pPr>
            <w:r>
              <w:rPr>
                <w:rFonts w:hint="eastAsia"/>
                <w:sz w:val="21"/>
                <w:szCs w:val="21"/>
              </w:rPr>
              <w:t>四年级</w:t>
            </w:r>
          </w:p>
        </w:tc>
        <w:tc>
          <w:tcPr>
            <w:tcW w:w="4148" w:type="dxa"/>
            <w:vAlign w:val="center"/>
          </w:tcPr>
          <w:p>
            <w:pPr>
              <w:jc w:val="center"/>
              <w:rPr>
                <w:sz w:val="21"/>
                <w:szCs w:val="21"/>
              </w:rPr>
            </w:pPr>
            <w:r>
              <w:rPr>
                <w:sz w:val="21"/>
                <w:szCs w:val="21"/>
              </w:rPr>
              <w:t>32</w:t>
            </w:r>
          </w:p>
        </w:tc>
      </w:tr>
      <w:tr>
        <w:tc>
          <w:tcPr>
            <w:tcW w:w="4148" w:type="dxa"/>
            <w:vAlign w:val="center"/>
          </w:tcPr>
          <w:p>
            <w:pPr>
              <w:jc w:val="center"/>
              <w:rPr>
                <w:sz w:val="21"/>
                <w:szCs w:val="21"/>
              </w:rPr>
            </w:pPr>
            <w:r>
              <w:rPr>
                <w:rFonts w:hint="eastAsia"/>
                <w:sz w:val="21"/>
                <w:szCs w:val="21"/>
              </w:rPr>
              <w:t>其他</w:t>
            </w:r>
          </w:p>
        </w:tc>
        <w:tc>
          <w:tcPr>
            <w:tcW w:w="4148" w:type="dxa"/>
            <w:vAlign w:val="center"/>
          </w:tcPr>
          <w:p>
            <w:pPr>
              <w:jc w:val="center"/>
              <w:rPr>
                <w:sz w:val="21"/>
                <w:szCs w:val="21"/>
              </w:rPr>
            </w:pPr>
            <w:r>
              <w:rPr>
                <w:sz w:val="21"/>
                <w:szCs w:val="21"/>
              </w:rPr>
              <w:t>0</w:t>
            </w:r>
          </w:p>
        </w:tc>
      </w:tr>
    </w:tbl>
    <w:p/>
    <w:p>
      <w:pPr>
        <w:pStyle w:val="4"/>
        <w:rPr>
          <w:rFonts w:ascii="宋体" w:hAnsi="宋体" w:eastAsia="宋体"/>
          <w:b w:val="0"/>
          <w:bCs w:val="0"/>
          <w:sz w:val="24"/>
          <w:szCs w:val="24"/>
        </w:rPr>
      </w:pPr>
      <w:bookmarkStart w:id="101" w:name="_Toc154735793"/>
      <w:r>
        <w:rPr>
          <w:rFonts w:ascii="宋体" w:hAnsi="宋体" w:eastAsia="宋体"/>
          <w:b w:val="0"/>
          <w:bCs w:val="0"/>
          <w:sz w:val="24"/>
          <w:szCs w:val="24"/>
        </w:rPr>
        <w:t>7.2专业招生录取率和新生报到率</w:t>
      </w:r>
      <w:bookmarkEnd w:id="101"/>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2023级学生来自全国13个省、市、自治区，其中上海市生源占比40%，一志愿录取率67.5%，实际报到率97.5%。各省份招生、录取、报到情况详见下表。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037"/>
        <w:gridCol w:w="1037"/>
        <w:gridCol w:w="1037"/>
        <w:gridCol w:w="1037"/>
        <w:gridCol w:w="1037"/>
        <w:gridCol w:w="1037"/>
        <w:gridCol w:w="1037"/>
      </w:tblGrid>
      <w:tr>
        <w:tc>
          <w:tcPr>
            <w:tcW w:w="1037" w:type="dxa"/>
            <w:vAlign w:val="center"/>
          </w:tcPr>
          <w:p>
            <w:pPr>
              <w:jc w:val="center"/>
              <w:rPr>
                <w:sz w:val="21"/>
                <w:szCs w:val="21"/>
              </w:rPr>
            </w:pPr>
            <w:r>
              <w:rPr>
                <w:rFonts w:hint="eastAsia"/>
                <w:sz w:val="21"/>
                <w:szCs w:val="21"/>
              </w:rPr>
              <w:t>省份</w:t>
            </w:r>
          </w:p>
        </w:tc>
        <w:tc>
          <w:tcPr>
            <w:tcW w:w="1037" w:type="dxa"/>
            <w:vAlign w:val="center"/>
          </w:tcPr>
          <w:p>
            <w:pPr>
              <w:jc w:val="center"/>
              <w:rPr>
                <w:sz w:val="21"/>
                <w:szCs w:val="21"/>
              </w:rPr>
            </w:pPr>
            <w:r>
              <w:rPr>
                <w:rFonts w:hint="eastAsia"/>
                <w:sz w:val="21"/>
                <w:szCs w:val="21"/>
              </w:rPr>
              <w:t>招生计划数</w:t>
            </w:r>
          </w:p>
        </w:tc>
        <w:tc>
          <w:tcPr>
            <w:tcW w:w="1037" w:type="dxa"/>
            <w:vAlign w:val="center"/>
          </w:tcPr>
          <w:p>
            <w:pPr>
              <w:jc w:val="center"/>
              <w:rPr>
                <w:sz w:val="21"/>
                <w:szCs w:val="21"/>
              </w:rPr>
            </w:pPr>
            <w:r>
              <w:rPr>
                <w:rFonts w:hint="eastAsia"/>
                <w:sz w:val="21"/>
                <w:szCs w:val="21"/>
              </w:rPr>
              <w:t>实际录取数</w:t>
            </w:r>
          </w:p>
        </w:tc>
        <w:tc>
          <w:tcPr>
            <w:tcW w:w="1037" w:type="dxa"/>
            <w:vAlign w:val="center"/>
          </w:tcPr>
          <w:p>
            <w:pPr>
              <w:jc w:val="center"/>
              <w:rPr>
                <w:sz w:val="21"/>
                <w:szCs w:val="21"/>
              </w:rPr>
            </w:pPr>
            <w:r>
              <w:rPr>
                <w:rFonts w:hint="eastAsia"/>
                <w:sz w:val="21"/>
                <w:szCs w:val="21"/>
              </w:rPr>
              <w:t>录取率</w:t>
            </w:r>
          </w:p>
        </w:tc>
        <w:tc>
          <w:tcPr>
            <w:tcW w:w="1037" w:type="dxa"/>
            <w:vAlign w:val="center"/>
          </w:tcPr>
          <w:p>
            <w:pPr>
              <w:jc w:val="center"/>
              <w:rPr>
                <w:sz w:val="21"/>
                <w:szCs w:val="21"/>
              </w:rPr>
            </w:pPr>
            <w:r>
              <w:rPr>
                <w:rFonts w:hint="eastAsia"/>
                <w:sz w:val="21"/>
                <w:szCs w:val="21"/>
              </w:rPr>
              <w:t>一志愿录取数</w:t>
            </w:r>
          </w:p>
        </w:tc>
        <w:tc>
          <w:tcPr>
            <w:tcW w:w="1037" w:type="dxa"/>
            <w:vAlign w:val="center"/>
          </w:tcPr>
          <w:p>
            <w:pPr>
              <w:jc w:val="center"/>
              <w:rPr>
                <w:sz w:val="21"/>
                <w:szCs w:val="21"/>
              </w:rPr>
            </w:pPr>
            <w:r>
              <w:rPr>
                <w:rFonts w:hint="eastAsia"/>
                <w:sz w:val="21"/>
                <w:szCs w:val="21"/>
              </w:rPr>
              <w:t>一志愿录取率</w:t>
            </w:r>
          </w:p>
        </w:tc>
        <w:tc>
          <w:tcPr>
            <w:tcW w:w="1037" w:type="dxa"/>
            <w:vAlign w:val="center"/>
          </w:tcPr>
          <w:p>
            <w:pPr>
              <w:jc w:val="center"/>
              <w:rPr>
                <w:sz w:val="21"/>
                <w:szCs w:val="21"/>
              </w:rPr>
            </w:pPr>
            <w:r>
              <w:rPr>
                <w:rFonts w:hint="eastAsia"/>
                <w:sz w:val="21"/>
                <w:szCs w:val="21"/>
              </w:rPr>
              <w:t>实际报到数</w:t>
            </w:r>
          </w:p>
        </w:tc>
        <w:tc>
          <w:tcPr>
            <w:tcW w:w="1037" w:type="dxa"/>
            <w:vAlign w:val="center"/>
          </w:tcPr>
          <w:p>
            <w:pPr>
              <w:jc w:val="center"/>
              <w:rPr>
                <w:sz w:val="21"/>
                <w:szCs w:val="21"/>
              </w:rPr>
            </w:pPr>
            <w:r>
              <w:rPr>
                <w:rFonts w:hint="eastAsia"/>
                <w:sz w:val="21"/>
                <w:szCs w:val="21"/>
              </w:rPr>
              <w:t>报到率</w:t>
            </w:r>
          </w:p>
        </w:tc>
      </w:tr>
      <w:tr>
        <w:tc>
          <w:tcPr>
            <w:tcW w:w="1037" w:type="dxa"/>
            <w:vAlign w:val="center"/>
          </w:tcPr>
          <w:p>
            <w:pPr>
              <w:jc w:val="center"/>
              <w:rPr>
                <w:sz w:val="20"/>
                <w:szCs w:val="20"/>
              </w:rPr>
            </w:pPr>
            <w:r>
              <w:rPr>
                <w:sz w:val="20"/>
                <w:szCs w:val="20"/>
              </w:rPr>
              <w:t>四川省</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100</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100</w:t>
            </w:r>
          </w:p>
        </w:tc>
        <w:tc>
          <w:tcPr>
            <w:tcW w:w="1037" w:type="dxa"/>
            <w:vAlign w:val="center"/>
          </w:tcPr>
          <w:p>
            <w:pPr>
              <w:jc w:val="center"/>
              <w:rPr>
                <w:sz w:val="20"/>
                <w:szCs w:val="20"/>
              </w:rPr>
            </w:pPr>
            <w:r>
              <w:rPr>
                <w:sz w:val="20"/>
                <w:szCs w:val="20"/>
              </w:rPr>
              <w:t>3</w:t>
            </w:r>
          </w:p>
        </w:tc>
        <w:tc>
          <w:tcPr>
            <w:tcW w:w="1037" w:type="dxa"/>
            <w:vAlign w:val="center"/>
          </w:tcPr>
          <w:p>
            <w:pPr>
              <w:jc w:val="center"/>
              <w:rPr>
                <w:sz w:val="20"/>
                <w:szCs w:val="20"/>
              </w:rPr>
            </w:pPr>
            <w:r>
              <w:rPr>
                <w:sz w:val="20"/>
                <w:szCs w:val="20"/>
              </w:rPr>
              <w:t>100</w:t>
            </w:r>
          </w:p>
        </w:tc>
      </w:tr>
      <w:tr>
        <w:tc>
          <w:tcPr>
            <w:tcW w:w="1037" w:type="dxa"/>
            <w:vAlign w:val="center"/>
          </w:tcPr>
          <w:p>
            <w:pPr>
              <w:jc w:val="center"/>
              <w:rPr>
                <w:sz w:val="20"/>
                <w:szCs w:val="20"/>
              </w:rPr>
            </w:pPr>
            <w:r>
              <w:rPr>
                <w:sz w:val="20"/>
              </w:rPr>
              <w:t>贵州省</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浙江省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0</w:t>
            </w:r>
          </w:p>
        </w:tc>
      </w:tr>
      <w:tr>
        <w:tc>
          <w:tcPr>
            <w:tcW w:w="1037" w:type="dxa"/>
            <w:vAlign w:val="center"/>
          </w:tcPr>
          <w:p>
            <w:pPr>
              <w:jc w:val="center"/>
              <w:rPr>
                <w:sz w:val="20"/>
                <w:szCs w:val="20"/>
              </w:rPr>
            </w:pPr>
            <w:r>
              <w:rPr>
                <w:sz w:val="20"/>
              </w:rPr>
              <w:t>上海市</w:t>
            </w:r>
          </w:p>
        </w:tc>
        <w:tc>
          <w:tcPr>
            <w:tcW w:w="1037" w:type="dxa"/>
            <w:vAlign w:val="center"/>
          </w:tcPr>
          <w:p>
            <w:pPr>
              <w:jc w:val="center"/>
              <w:rPr>
                <w:sz w:val="20"/>
                <w:szCs w:val="20"/>
              </w:rPr>
            </w:pPr>
            <w:r>
              <w:rPr>
                <w:sz w:val="20"/>
              </w:rPr>
              <w:t>16</w:t>
            </w:r>
          </w:p>
        </w:tc>
        <w:tc>
          <w:tcPr>
            <w:tcW w:w="1037" w:type="dxa"/>
            <w:vAlign w:val="center"/>
          </w:tcPr>
          <w:p>
            <w:pPr>
              <w:jc w:val="center"/>
              <w:rPr>
                <w:sz w:val="20"/>
                <w:szCs w:val="20"/>
              </w:rPr>
            </w:pPr>
            <w:r>
              <w:rPr>
                <w:sz w:val="20"/>
              </w:rPr>
              <w:t>16</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15</w:t>
            </w:r>
          </w:p>
        </w:tc>
        <w:tc>
          <w:tcPr>
            <w:tcW w:w="1037" w:type="dxa"/>
            <w:vAlign w:val="center"/>
          </w:tcPr>
          <w:p>
            <w:pPr>
              <w:jc w:val="center"/>
              <w:rPr>
                <w:sz w:val="20"/>
                <w:szCs w:val="20"/>
              </w:rPr>
            </w:pPr>
            <w:r>
              <w:rPr>
                <w:sz w:val="20"/>
              </w:rPr>
              <w:t>93.75</w:t>
            </w:r>
          </w:p>
        </w:tc>
        <w:tc>
          <w:tcPr>
            <w:tcW w:w="1037" w:type="dxa"/>
            <w:vAlign w:val="center"/>
          </w:tcPr>
          <w:p>
            <w:pPr>
              <w:jc w:val="center"/>
              <w:rPr>
                <w:sz w:val="20"/>
                <w:szCs w:val="20"/>
              </w:rPr>
            </w:pPr>
            <w:r>
              <w:rPr>
                <w:sz w:val="20"/>
              </w:rPr>
              <w:t>16</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安徽省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福建省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广西壮族自治区</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150</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海南省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50</w:t>
            </w:r>
          </w:p>
        </w:tc>
      </w:tr>
      <w:tr>
        <w:tc>
          <w:tcPr>
            <w:tcW w:w="1037" w:type="dxa"/>
            <w:vAlign w:val="center"/>
          </w:tcPr>
          <w:p>
            <w:pPr>
              <w:jc w:val="center"/>
              <w:rPr>
                <w:sz w:val="20"/>
                <w:szCs w:val="20"/>
              </w:rPr>
            </w:pPr>
            <w:r>
              <w:rPr>
                <w:sz w:val="20"/>
              </w:rPr>
              <w:t>广东省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50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云南省</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33.33</w:t>
            </w:r>
          </w:p>
        </w:tc>
        <w:tc>
          <w:tcPr>
            <w:tcW w:w="1037" w:type="dxa"/>
            <w:vAlign w:val="center"/>
          </w:tcPr>
          <w:p>
            <w:pPr>
              <w:jc w:val="center"/>
              <w:rPr>
                <w:sz w:val="20"/>
                <w:szCs w:val="20"/>
              </w:rPr>
            </w:pPr>
            <w:r>
              <w:rPr>
                <w:sz w:val="20"/>
              </w:rPr>
              <w:t>3</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江苏省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50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山西省</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50</w:t>
            </w:r>
          </w:p>
        </w:tc>
        <w:tc>
          <w:tcPr>
            <w:tcW w:w="1037" w:type="dxa"/>
            <w:vAlign w:val="center"/>
          </w:tcPr>
          <w:p>
            <w:pPr>
              <w:jc w:val="center"/>
              <w:rPr>
                <w:sz w:val="20"/>
                <w:szCs w:val="20"/>
              </w:rPr>
            </w:pPr>
            <w:r>
              <w:rPr>
                <w:sz w:val="20"/>
              </w:rPr>
              <w:t>2</w:t>
            </w:r>
          </w:p>
        </w:tc>
        <w:tc>
          <w:tcPr>
            <w:tcW w:w="1037" w:type="dxa"/>
            <w:vAlign w:val="center"/>
          </w:tcPr>
          <w:p>
            <w:pPr>
              <w:jc w:val="center"/>
              <w:rPr>
                <w:sz w:val="20"/>
                <w:szCs w:val="20"/>
              </w:rPr>
            </w:pPr>
            <w:r>
              <w:rPr>
                <w:sz w:val="20"/>
              </w:rPr>
              <w:t>100</w:t>
            </w:r>
          </w:p>
        </w:tc>
      </w:tr>
      <w:tr>
        <w:tc>
          <w:tcPr>
            <w:tcW w:w="1037" w:type="dxa"/>
            <w:vAlign w:val="center"/>
          </w:tcPr>
          <w:p>
            <w:pPr>
              <w:jc w:val="center"/>
              <w:rPr>
                <w:sz w:val="20"/>
                <w:szCs w:val="20"/>
              </w:rPr>
            </w:pPr>
            <w:r>
              <w:rPr>
                <w:sz w:val="20"/>
              </w:rPr>
              <w:t>湖南省</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0</w:t>
            </w:r>
          </w:p>
        </w:tc>
        <w:tc>
          <w:tcPr>
            <w:tcW w:w="1037" w:type="dxa"/>
            <w:vAlign w:val="center"/>
          </w:tcPr>
          <w:p>
            <w:pPr>
              <w:jc w:val="center"/>
              <w:rPr>
                <w:sz w:val="20"/>
                <w:szCs w:val="20"/>
              </w:rPr>
            </w:pPr>
            <w:r>
              <w:rPr>
                <w:sz w:val="20"/>
              </w:rPr>
              <w:t>1</w:t>
            </w:r>
          </w:p>
        </w:tc>
        <w:tc>
          <w:tcPr>
            <w:tcW w:w="1037" w:type="dxa"/>
            <w:vAlign w:val="center"/>
          </w:tcPr>
          <w:p>
            <w:pPr>
              <w:jc w:val="center"/>
              <w:rPr>
                <w:sz w:val="20"/>
                <w:szCs w:val="20"/>
              </w:rPr>
            </w:pPr>
            <w:r>
              <w:rPr>
                <w:sz w:val="20"/>
              </w:rPr>
              <w:t>100</w:t>
            </w:r>
          </w:p>
        </w:tc>
      </w:tr>
    </w:tbl>
    <w:p/>
    <w:p>
      <w:pPr>
        <w:pStyle w:val="4"/>
        <w:rPr>
          <w:rFonts w:ascii="宋体" w:hAnsi="宋体" w:eastAsia="宋体"/>
          <w:b w:val="0"/>
          <w:bCs w:val="0"/>
          <w:sz w:val="24"/>
          <w:szCs w:val="24"/>
        </w:rPr>
      </w:pPr>
      <w:bookmarkStart w:id="102" w:name="_Toc154735794"/>
      <w:r>
        <w:rPr>
          <w:rFonts w:ascii="宋体" w:hAnsi="宋体" w:eastAsia="宋体"/>
          <w:b w:val="0"/>
          <w:bCs w:val="0"/>
          <w:sz w:val="24"/>
          <w:szCs w:val="24"/>
        </w:rPr>
        <w:t>7.3毕业生毕业率</w:t>
      </w:r>
      <w:r>
        <w:rPr>
          <w:rFonts w:hint="eastAsia" w:ascii="宋体" w:hAnsi="宋体" w:eastAsia="宋体"/>
          <w:b w:val="0"/>
          <w:bCs w:val="0"/>
          <w:sz w:val="24"/>
          <w:szCs w:val="24"/>
        </w:rPr>
        <w:t>、</w:t>
      </w:r>
      <w:r>
        <w:rPr>
          <w:rFonts w:ascii="宋体" w:hAnsi="宋体" w:eastAsia="宋体"/>
          <w:b w:val="0"/>
          <w:bCs w:val="0"/>
          <w:sz w:val="24"/>
          <w:szCs w:val="24"/>
        </w:rPr>
        <w:t>学位授予率</w:t>
      </w:r>
      <w:r>
        <w:rPr>
          <w:rFonts w:hint="eastAsia" w:ascii="宋体" w:hAnsi="宋体" w:eastAsia="宋体"/>
          <w:b w:val="0"/>
          <w:bCs w:val="0"/>
          <w:sz w:val="24"/>
          <w:szCs w:val="24"/>
        </w:rPr>
        <w:t>与去向落实率</w:t>
      </w:r>
      <w:bookmarkEnd w:id="102"/>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养老服务管理专业本年度无毕业生。</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1921"/>
        <w:gridCol w:w="3261"/>
      </w:tblGrid>
      <w:tr>
        <w:tc>
          <w:tcPr>
            <w:tcW w:w="3114" w:type="dxa"/>
            <w:vAlign w:val="center"/>
          </w:tcPr>
          <w:p>
            <w:pPr>
              <w:jc w:val="center"/>
              <w:rPr>
                <w:sz w:val="21"/>
                <w:szCs w:val="21"/>
              </w:rPr>
            </w:pPr>
            <w:r>
              <w:rPr>
                <w:rFonts w:hint="eastAsia"/>
                <w:sz w:val="21"/>
                <w:szCs w:val="21"/>
              </w:rPr>
              <w:t>项目</w:t>
            </w:r>
          </w:p>
        </w:tc>
        <w:tc>
          <w:tcPr>
            <w:tcW w:w="1921" w:type="dxa"/>
            <w:vAlign w:val="center"/>
          </w:tcPr>
          <w:p>
            <w:pPr>
              <w:jc w:val="center"/>
              <w:rPr>
                <w:sz w:val="21"/>
                <w:szCs w:val="21"/>
              </w:rPr>
            </w:pPr>
            <w:r>
              <w:rPr>
                <w:rFonts w:hint="eastAsia"/>
                <w:sz w:val="21"/>
                <w:szCs w:val="21"/>
              </w:rPr>
              <w:t>专业情况</w:t>
            </w:r>
          </w:p>
        </w:tc>
        <w:tc>
          <w:tcPr>
            <w:tcW w:w="3261" w:type="dxa"/>
            <w:vAlign w:val="center"/>
          </w:tcPr>
          <w:p>
            <w:pPr>
              <w:jc w:val="center"/>
              <w:rPr>
                <w:sz w:val="21"/>
                <w:szCs w:val="21"/>
              </w:rPr>
            </w:pPr>
            <w:r>
              <w:rPr>
                <w:rFonts w:hint="eastAsia"/>
                <w:sz w:val="21"/>
                <w:szCs w:val="21"/>
              </w:rPr>
              <w:t>学校情况</w:t>
            </w:r>
          </w:p>
        </w:tc>
      </w:tr>
      <w:tr>
        <w:tc>
          <w:tcPr>
            <w:tcW w:w="3114" w:type="dxa"/>
            <w:vAlign w:val="center"/>
          </w:tcPr>
          <w:p>
            <w:pPr>
              <w:jc w:val="center"/>
              <w:rPr>
                <w:sz w:val="21"/>
                <w:szCs w:val="21"/>
              </w:rPr>
            </w:pPr>
            <w:bookmarkStart w:id="103" w:name="OLE_LINK53"/>
            <w:r>
              <w:rPr>
                <w:rFonts w:hint="eastAsia"/>
                <w:sz w:val="21"/>
                <w:szCs w:val="21"/>
              </w:rPr>
              <w:t>应届毕业生数</w:t>
            </w:r>
            <w:bookmarkEnd w:id="103"/>
          </w:p>
        </w:tc>
        <w:tc>
          <w:tcPr>
            <w:tcW w:w="1921" w:type="dxa"/>
            <w:vAlign w:val="center"/>
          </w:tcPr>
          <w:p>
            <w:pPr>
              <w:jc w:val="center"/>
              <w:rPr>
                <w:sz w:val="21"/>
                <w:szCs w:val="21"/>
              </w:rPr>
            </w:pPr>
            <w:r>
              <w:rPr>
                <w:sz w:val="21"/>
                <w:szCs w:val="21"/>
              </w:rPr>
              <w:t>0</w:t>
            </w:r>
          </w:p>
        </w:tc>
        <w:tc>
          <w:tcPr>
            <w:tcW w:w="3261" w:type="dxa"/>
            <w:vAlign w:val="center"/>
          </w:tcPr>
          <w:p>
            <w:pPr>
              <w:jc w:val="center"/>
              <w:rPr>
                <w:sz w:val="21"/>
                <w:szCs w:val="21"/>
              </w:rPr>
            </w:pPr>
            <w:r>
              <w:rPr>
                <w:rFonts w:hint="eastAsia"/>
                <w:sz w:val="21"/>
                <w:szCs w:val="21"/>
              </w:rPr>
              <w:t>/</w:t>
            </w:r>
          </w:p>
        </w:tc>
      </w:tr>
      <w:tr>
        <w:tc>
          <w:tcPr>
            <w:tcW w:w="3114" w:type="dxa"/>
            <w:vAlign w:val="center"/>
          </w:tcPr>
          <w:p>
            <w:pPr>
              <w:jc w:val="center"/>
              <w:rPr>
                <w:sz w:val="21"/>
                <w:szCs w:val="21"/>
              </w:rPr>
            </w:pPr>
            <w:r>
              <w:rPr>
                <w:rFonts w:hint="eastAsia"/>
                <w:sz w:val="21"/>
                <w:szCs w:val="21"/>
              </w:rPr>
              <w:t>应届生中未按时毕业数</w:t>
            </w:r>
          </w:p>
        </w:tc>
        <w:tc>
          <w:tcPr>
            <w:tcW w:w="1921" w:type="dxa"/>
            <w:vAlign w:val="center"/>
          </w:tcPr>
          <w:p>
            <w:pPr>
              <w:jc w:val="center"/>
              <w:rPr>
                <w:sz w:val="21"/>
                <w:szCs w:val="21"/>
              </w:rPr>
            </w:pPr>
            <w:r>
              <w:rPr>
                <w:sz w:val="21"/>
                <w:szCs w:val="21"/>
              </w:rPr>
              <w:t>0</w:t>
            </w:r>
            <w:bookmarkStart w:id="104" w:name="OLE_LINK54"/>
            <w:bookmarkEnd w:id="104"/>
          </w:p>
        </w:tc>
        <w:tc>
          <w:tcPr>
            <w:tcW w:w="3261" w:type="dxa"/>
            <w:vAlign w:val="center"/>
          </w:tcPr>
          <w:p>
            <w:pPr>
              <w:jc w:val="center"/>
              <w:rPr>
                <w:sz w:val="21"/>
                <w:szCs w:val="21"/>
              </w:rPr>
            </w:pPr>
            <w:r>
              <w:rPr>
                <w:rFonts w:hint="eastAsia"/>
                <w:sz w:val="21"/>
                <w:szCs w:val="21"/>
              </w:rPr>
              <w:t>/</w:t>
            </w:r>
          </w:p>
        </w:tc>
      </w:tr>
      <w:tr>
        <w:tc>
          <w:tcPr>
            <w:tcW w:w="3114" w:type="dxa"/>
            <w:vAlign w:val="center"/>
          </w:tcPr>
          <w:p>
            <w:pPr>
              <w:jc w:val="center"/>
              <w:rPr>
                <w:sz w:val="21"/>
                <w:szCs w:val="21"/>
              </w:rPr>
            </w:pPr>
            <w:bookmarkStart w:id="105" w:name="OLE_LINK52"/>
            <w:r>
              <w:rPr>
                <w:rFonts w:hint="eastAsia"/>
                <w:sz w:val="21"/>
                <w:szCs w:val="21"/>
              </w:rPr>
              <w:t>毕业率（</w:t>
            </w:r>
            <w:r>
              <w:rPr>
                <w:sz w:val="21"/>
                <w:szCs w:val="21"/>
              </w:rPr>
              <w:t>%</w:t>
            </w:r>
            <w:r>
              <w:rPr>
                <w:rFonts w:hint="eastAsia"/>
                <w:sz w:val="21"/>
                <w:szCs w:val="21"/>
              </w:rPr>
              <w:t>）</w:t>
            </w:r>
            <w:bookmarkEnd w:id="105"/>
            <w:r>
              <w:rPr>
                <w:rFonts w:hint="eastAsia"/>
                <w:sz w:val="21"/>
                <w:szCs w:val="21"/>
              </w:rPr>
              <w:t xml:space="preserve"> </w:t>
            </w:r>
          </w:p>
        </w:tc>
        <w:tc>
          <w:tcPr>
            <w:tcW w:w="1921" w:type="dxa"/>
            <w:vAlign w:val="center"/>
          </w:tcPr>
          <w:p>
            <w:pPr>
              <w:jc w:val="center"/>
              <w:rPr>
                <w:sz w:val="21"/>
                <w:szCs w:val="21"/>
              </w:rPr>
            </w:pPr>
            <w:r>
              <w:rPr>
                <w:sz w:val="21"/>
                <w:szCs w:val="21"/>
              </w:rPr>
              <w:t>0</w:t>
            </w:r>
            <w:bookmarkStart w:id="106" w:name="OLE_LINK51"/>
            <w:bookmarkEnd w:id="106"/>
          </w:p>
        </w:tc>
        <w:tc>
          <w:tcPr>
            <w:tcW w:w="3261" w:type="dxa"/>
            <w:vAlign w:val="center"/>
          </w:tcPr>
          <w:p>
            <w:pPr>
              <w:jc w:val="center"/>
              <w:rPr>
                <w:sz w:val="21"/>
                <w:szCs w:val="21"/>
              </w:rPr>
            </w:pPr>
            <w:r>
              <w:rPr>
                <w:sz w:val="21"/>
                <w:szCs w:val="21"/>
              </w:rPr>
              <w:t>90.25</w:t>
            </w:r>
          </w:p>
        </w:tc>
      </w:tr>
      <w:tr>
        <w:tc>
          <w:tcPr>
            <w:tcW w:w="3114" w:type="dxa"/>
            <w:vAlign w:val="center"/>
          </w:tcPr>
          <w:p>
            <w:pPr>
              <w:jc w:val="center"/>
              <w:rPr>
                <w:sz w:val="21"/>
                <w:szCs w:val="21"/>
              </w:rPr>
            </w:pPr>
            <w:r>
              <w:rPr>
                <w:rFonts w:hint="eastAsia"/>
                <w:sz w:val="21"/>
                <w:szCs w:val="21"/>
              </w:rPr>
              <w:t>学位授予数</w:t>
            </w:r>
          </w:p>
        </w:tc>
        <w:tc>
          <w:tcPr>
            <w:tcW w:w="1921" w:type="dxa"/>
            <w:vAlign w:val="center"/>
          </w:tcPr>
          <w:p>
            <w:pPr>
              <w:jc w:val="center"/>
              <w:rPr>
                <w:sz w:val="21"/>
                <w:szCs w:val="21"/>
              </w:rPr>
            </w:pPr>
            <w:r>
              <w:rPr>
                <w:sz w:val="21"/>
                <w:szCs w:val="21"/>
              </w:rPr>
              <w:t>0</w:t>
            </w:r>
          </w:p>
        </w:tc>
        <w:tc>
          <w:tcPr>
            <w:tcW w:w="3261" w:type="dxa"/>
            <w:vAlign w:val="center"/>
          </w:tcPr>
          <w:p>
            <w:pPr>
              <w:jc w:val="center"/>
              <w:rPr>
                <w:sz w:val="21"/>
                <w:szCs w:val="21"/>
              </w:rPr>
            </w:pPr>
            <w:r>
              <w:rPr>
                <w:rFonts w:hint="eastAsia"/>
                <w:sz w:val="21"/>
                <w:szCs w:val="21"/>
              </w:rPr>
              <w:t>/</w:t>
            </w:r>
          </w:p>
        </w:tc>
      </w:tr>
      <w:tr>
        <w:tc>
          <w:tcPr>
            <w:tcW w:w="3114" w:type="dxa"/>
            <w:vAlign w:val="center"/>
          </w:tcPr>
          <w:p>
            <w:pPr>
              <w:jc w:val="center"/>
              <w:rPr>
                <w:sz w:val="21"/>
                <w:szCs w:val="21"/>
              </w:rPr>
            </w:pPr>
            <w:r>
              <w:rPr>
                <w:rFonts w:hint="eastAsia"/>
                <w:sz w:val="21"/>
                <w:szCs w:val="21"/>
              </w:rPr>
              <w:t>学位授予率（</w:t>
            </w:r>
            <w:r>
              <w:rPr>
                <w:sz w:val="21"/>
                <w:szCs w:val="21"/>
              </w:rPr>
              <w:t>%</w:t>
            </w:r>
            <w:r>
              <w:rPr>
                <w:rFonts w:hint="eastAsia"/>
                <w:sz w:val="21"/>
                <w:szCs w:val="21"/>
              </w:rPr>
              <w:t xml:space="preserve">） </w:t>
            </w:r>
          </w:p>
        </w:tc>
        <w:tc>
          <w:tcPr>
            <w:tcW w:w="1921" w:type="dxa"/>
            <w:vAlign w:val="center"/>
          </w:tcPr>
          <w:p>
            <w:pPr>
              <w:jc w:val="center"/>
              <w:rPr>
                <w:sz w:val="21"/>
                <w:szCs w:val="21"/>
              </w:rPr>
            </w:pPr>
            <w:r>
              <w:rPr>
                <w:sz w:val="21"/>
                <w:szCs w:val="21"/>
              </w:rPr>
              <w:t>0</w:t>
            </w:r>
          </w:p>
        </w:tc>
        <w:tc>
          <w:tcPr>
            <w:tcW w:w="3261" w:type="dxa"/>
            <w:vAlign w:val="center"/>
          </w:tcPr>
          <w:p>
            <w:pPr>
              <w:jc w:val="center"/>
              <w:rPr>
                <w:sz w:val="21"/>
                <w:szCs w:val="21"/>
              </w:rPr>
            </w:pPr>
            <w:r>
              <w:rPr>
                <w:sz w:val="21"/>
                <w:szCs w:val="21"/>
              </w:rPr>
              <w:t>97.72</w:t>
            </w:r>
          </w:p>
        </w:tc>
      </w:tr>
      <w:tr>
        <w:tc>
          <w:tcPr>
            <w:tcW w:w="3114" w:type="dxa"/>
            <w:vAlign w:val="center"/>
          </w:tcPr>
          <w:p>
            <w:pPr>
              <w:jc w:val="center"/>
              <w:rPr>
                <w:sz w:val="21"/>
                <w:szCs w:val="21"/>
              </w:rPr>
            </w:pPr>
            <w:r>
              <w:rPr>
                <w:rFonts w:hint="eastAsia"/>
                <w:sz w:val="21"/>
                <w:szCs w:val="21"/>
              </w:rPr>
              <w:t>去向落实数</w:t>
            </w:r>
          </w:p>
        </w:tc>
        <w:tc>
          <w:tcPr>
            <w:tcW w:w="1921" w:type="dxa"/>
            <w:vAlign w:val="center"/>
          </w:tcPr>
          <w:p>
            <w:pPr>
              <w:jc w:val="center"/>
              <w:rPr>
                <w:sz w:val="21"/>
                <w:szCs w:val="21"/>
              </w:rPr>
            </w:pPr>
            <w:r>
              <w:rPr>
                <w:sz w:val="21"/>
                <w:szCs w:val="21"/>
              </w:rPr>
              <w:t>0</w:t>
            </w:r>
          </w:p>
        </w:tc>
        <w:tc>
          <w:tcPr>
            <w:tcW w:w="3261" w:type="dxa"/>
            <w:vAlign w:val="center"/>
          </w:tcPr>
          <w:p>
            <w:pPr>
              <w:jc w:val="center"/>
              <w:rPr>
                <w:sz w:val="21"/>
                <w:szCs w:val="21"/>
              </w:rPr>
            </w:pPr>
            <w:r>
              <w:rPr>
                <w:rFonts w:hint="eastAsia"/>
                <w:sz w:val="21"/>
                <w:szCs w:val="21"/>
              </w:rPr>
              <w:t>/</w:t>
            </w:r>
          </w:p>
        </w:tc>
      </w:tr>
      <w:tr>
        <w:tc>
          <w:tcPr>
            <w:tcW w:w="3114" w:type="dxa"/>
            <w:vAlign w:val="center"/>
          </w:tcPr>
          <w:p>
            <w:pPr>
              <w:jc w:val="center"/>
              <w:rPr>
                <w:sz w:val="21"/>
                <w:szCs w:val="21"/>
              </w:rPr>
            </w:pPr>
            <w:r>
              <w:rPr>
                <w:rFonts w:hint="eastAsia"/>
                <w:sz w:val="21"/>
                <w:szCs w:val="21"/>
              </w:rPr>
              <w:t>去向落实率（</w:t>
            </w:r>
            <w:r>
              <w:rPr>
                <w:sz w:val="21"/>
                <w:szCs w:val="21"/>
              </w:rPr>
              <w:t>%</w:t>
            </w:r>
            <w:r>
              <w:rPr>
                <w:rFonts w:hint="eastAsia"/>
                <w:sz w:val="21"/>
                <w:szCs w:val="21"/>
              </w:rPr>
              <w:t>）</w:t>
            </w:r>
          </w:p>
        </w:tc>
        <w:tc>
          <w:tcPr>
            <w:tcW w:w="1921" w:type="dxa"/>
            <w:vAlign w:val="center"/>
          </w:tcPr>
          <w:p>
            <w:pPr>
              <w:jc w:val="center"/>
              <w:rPr>
                <w:sz w:val="21"/>
                <w:szCs w:val="21"/>
              </w:rPr>
            </w:pPr>
            <w:r>
              <w:rPr>
                <w:sz w:val="21"/>
                <w:szCs w:val="21"/>
              </w:rPr>
              <w:t>0</w:t>
            </w:r>
          </w:p>
        </w:tc>
        <w:tc>
          <w:tcPr>
            <w:tcW w:w="3261" w:type="dxa"/>
            <w:vAlign w:val="center"/>
          </w:tcPr>
          <w:p>
            <w:pPr>
              <w:jc w:val="center"/>
              <w:rPr>
                <w:sz w:val="21"/>
                <w:szCs w:val="21"/>
              </w:rPr>
            </w:pPr>
            <w:r>
              <w:rPr>
                <w:sz w:val="21"/>
                <w:szCs w:val="21"/>
              </w:rPr>
              <w:t>95.87</w:t>
            </w:r>
          </w:p>
        </w:tc>
      </w:tr>
    </w:tbl>
    <w:p/>
    <w:p>
      <w:pPr>
        <w:pStyle w:val="4"/>
        <w:rPr>
          <w:rFonts w:ascii="宋体" w:hAnsi="宋体" w:eastAsia="宋体"/>
          <w:b w:val="0"/>
          <w:bCs w:val="0"/>
          <w:sz w:val="24"/>
          <w:szCs w:val="24"/>
        </w:rPr>
      </w:pPr>
      <w:bookmarkStart w:id="107" w:name="_Toc154735795"/>
      <w:r>
        <w:rPr>
          <w:rFonts w:ascii="宋体" w:hAnsi="宋体" w:eastAsia="宋体"/>
          <w:b w:val="0"/>
          <w:bCs w:val="0"/>
          <w:sz w:val="24"/>
          <w:szCs w:val="24"/>
        </w:rPr>
        <w:t>7.4</w:t>
      </w:r>
      <w:r>
        <w:rPr>
          <w:rFonts w:hint="eastAsia" w:ascii="宋体" w:hAnsi="宋体" w:eastAsia="宋体"/>
          <w:b w:val="0"/>
          <w:bCs w:val="0"/>
          <w:sz w:val="24"/>
          <w:szCs w:val="24"/>
        </w:rPr>
        <w:t>学风建设情况</w:t>
      </w:r>
      <w:bookmarkEnd w:id="107"/>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专业积极营造学习氛围，学生学习主动性强。新生入学后，专业组织新生参与晚自习，并能够在自习中延续高中的学习韧性，做好课程的预习、复习、作业等。专业学生对照课表，认真上课，</w:t>
      </w:r>
      <w:r>
        <w:rPr>
          <w:rFonts w:ascii="仿宋" w:hAnsi="仿宋" w:eastAsia="仿宋" w:cstheme="minorBidi"/>
          <w:kern w:val="2"/>
        </w:rPr>
        <w:t>课上表现良好，对任课教师的教授内容有</w:t>
      </w:r>
      <w:r>
        <w:rPr>
          <w:rFonts w:hint="eastAsia" w:ascii="仿宋" w:hAnsi="仿宋" w:eastAsia="仿宋" w:cstheme="minorBidi"/>
          <w:kern w:val="2"/>
        </w:rPr>
        <w:t>吸收、有回应，学生比学赶超，学习氛围较好。</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除课堂教学外，专业教师通过坐班答疑、自习辅导等形式对学生实施指导，特别关注、跟进学业预警学生的学习情况。定期召开学生座谈会，了解专业学生学习等情况。组织学生参与“老博会”等行业展览，</w:t>
      </w:r>
      <w:r>
        <w:rPr>
          <w:rFonts w:ascii="仿宋" w:hAnsi="仿宋" w:eastAsia="仿宋" w:cstheme="minorBidi"/>
          <w:kern w:val="2"/>
        </w:rPr>
        <w:t>拓宽养老服务管理专业学生视野</w:t>
      </w:r>
      <w:r>
        <w:rPr>
          <w:rFonts w:hint="eastAsia" w:ascii="仿宋" w:hAnsi="仿宋" w:eastAsia="仿宋" w:cstheme="minorBidi"/>
          <w:kern w:val="2"/>
        </w:rPr>
        <w:t>。实施产学合作教育，并进行成果总结汇报，激励专业学生奋发学习、勇于实践的热忱，深刻认识到理论与实践相结合的重要性。加强校企联动，邀请行业专家进校，组织多场行业前沿讲座，明晰专业学生未来的职业发展路径。</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专业坚持“教育引导与规范管理相结合”、“分工负责与齐抓共管相结合”、“过程控制与目标管理相结合”和“学校教育与学生自我教育相结合”，根据学校相关条例和规章制度，以及《管理学院学风建设纪律文件》，严格要求本专业学生考勤纪律，规范学生日常管理，加强学风建设。为了让学生更加全面细致地了解学校关于旷课违纪和考场纪律等规定，大一至大三全体学生每人都签署《管理学院学风建设承诺书》。专业学生自觉遵守校纪校规，未出现任何违反校级校规、考风考纪的行为。</w:t>
      </w:r>
    </w:p>
    <w:p>
      <w:pPr>
        <w:pStyle w:val="3"/>
        <w:spacing w:after="120" w:line="415" w:lineRule="auto"/>
        <w:jc w:val="left"/>
        <w:rPr>
          <w:rFonts w:ascii="宋体" w:hAnsi="宋体"/>
          <w:sz w:val="28"/>
          <w:szCs w:val="28"/>
        </w:rPr>
      </w:pPr>
      <w:bookmarkStart w:id="108" w:name="_Toc154735796"/>
      <w:r>
        <w:rPr>
          <w:rFonts w:ascii="宋体" w:hAnsi="宋体"/>
          <w:sz w:val="28"/>
          <w:szCs w:val="28"/>
        </w:rPr>
        <w:t>8.</w:t>
      </w:r>
      <w:r>
        <w:rPr>
          <w:rFonts w:hint="eastAsia" w:ascii="宋体" w:hAnsi="宋体"/>
          <w:sz w:val="28"/>
          <w:szCs w:val="28"/>
        </w:rPr>
        <w:t>特色发展与案例</w:t>
      </w:r>
      <w:bookmarkEnd w:id="108"/>
    </w:p>
    <w:p>
      <w:pPr>
        <w:shd w:val="clear" w:color="auto" w:fill="FFFFFF"/>
        <w:spacing w:line="360" w:lineRule="auto"/>
        <w:ind w:firstLine="480" w:firstLineChars="200"/>
        <w:rPr>
          <w:rFonts w:ascii="仿宋" w:hAnsi="仿宋" w:eastAsia="仿宋"/>
          <w:color w:val="333333"/>
        </w:rPr>
      </w:pPr>
      <w:r>
        <w:rPr>
          <w:rFonts w:hint="eastAsia" w:ascii="仿宋" w:hAnsi="仿宋" w:eastAsia="仿宋"/>
          <w:color w:val="333333"/>
        </w:rPr>
        <w:t>上海工程技术大学养老服务管理专业是服务国家战略和社会民生急需的紧缺专业，是全国第一个获批的本科养老服务管理专业，该专业的人才培养目标是养老机构职业经理人、社区养老规划师、个人养老咨询顾问等。人才培养以社会需求为导向，知识结构以养老知识与管理知识（人力、营销、金融、房产）+人文素养（中华孝道文化）融合为主，采取产教模式融合，理论教学（课堂）与实践教学（养老院、社区、产学研合作一贯制）。依托国家教学团队和上海市重点学科，把本专业打造成为培养养老机构高级经营管理人员的摇篮。</w:t>
      </w:r>
    </w:p>
    <w:p>
      <w:pPr>
        <w:shd w:val="clear" w:color="auto" w:fill="FFFFFF"/>
        <w:spacing w:line="360" w:lineRule="auto"/>
        <w:ind w:firstLine="482" w:firstLineChars="200"/>
        <w:rPr>
          <w:rFonts w:ascii="仿宋" w:hAnsi="仿宋" w:eastAsia="仿宋"/>
          <w:color w:val="333333"/>
        </w:rPr>
      </w:pPr>
      <w:r>
        <w:rPr>
          <w:rFonts w:hint="eastAsia" w:ascii="仿宋" w:hAnsi="仿宋" w:eastAsia="仿宋"/>
          <w:b/>
          <w:color w:val="333333"/>
        </w:rPr>
        <w:t>特色之一：响应社会发展需求，打造独家特色，做好全国养老服务管理专业排头兵。</w:t>
      </w:r>
    </w:p>
    <w:p>
      <w:pPr>
        <w:shd w:val="clear" w:color="auto" w:fill="FFFFFF"/>
        <w:spacing w:line="360" w:lineRule="auto"/>
        <w:ind w:firstLine="480" w:firstLineChars="200"/>
        <w:rPr>
          <w:rFonts w:ascii="仿宋" w:hAnsi="仿宋" w:eastAsia="仿宋"/>
          <w:color w:val="333333"/>
        </w:rPr>
      </w:pPr>
      <w:r>
        <w:rPr>
          <w:rFonts w:hint="eastAsia" w:ascii="仿宋" w:hAnsi="仿宋" w:eastAsia="仿宋"/>
          <w:color w:val="333333"/>
        </w:rPr>
        <w:t>上海工程技术大学养老服务管理专业依托于学校工商管理国家特色专业、社会保障国家教学团队、社会保障上海市重点学科，以及上海市人民政府决策咨询研究基地、上海市高校智库和上海市社科创新研究基地，培养学生掌握健康管理、养老法律法规、医养康护基础理论、老年心理慰藉等综合管理知识，成为具有实践能力和创新创业素质的养老机构职业经理人、社区养老规划师、养老顾问等。养老服务管理本科专业特色旨在培养既熟悉“医养康护”专业知识，又能精通养老机构和社区居家养老组织的运营管理和为老服务，成为“医养康护”+“养老管理”的复合型、高层次人才。养老服务管理教学专业团队教学团队具有多样的学科交叉研究背景，教学团队凭借丰富的决策咨询研究经验，正积极围绕探索“医养康护+养老管理”多形式养老服务模式、规范养老机构运营等为政府部门提供决策咨询。</w:t>
      </w:r>
    </w:p>
    <w:p>
      <w:pPr>
        <w:shd w:val="clear" w:color="auto" w:fill="FFFFFF"/>
        <w:spacing w:line="360" w:lineRule="auto"/>
        <w:ind w:firstLine="480" w:firstLineChars="200"/>
        <w:rPr>
          <w:rFonts w:ascii="仿宋" w:hAnsi="仿宋" w:eastAsia="仿宋"/>
          <w:color w:val="333333"/>
        </w:rPr>
      </w:pPr>
      <w:r>
        <w:rPr>
          <w:rFonts w:hint="eastAsia" w:ascii="仿宋" w:hAnsi="仿宋" w:eastAsia="仿宋"/>
          <w:color w:val="333333"/>
        </w:rPr>
        <w:t>本专业拥有国内外一批产学研合作实习基地，依托养老服务产业良好发展前景，培养具备养老机构运营管理、健康护理、健康促进等综合养老服务专业知识，具有实践能力和创新创业素质，能够满足国内外公办养老福利机构、民办养老机构、社区养老服务单位、老龄产业等相关机构的要求，具有适应行业新趋势、养老新模式、老人新需求的养老服务管理高端应用型人才。专业的2022软科排名，位列全国第三。</w:t>
      </w:r>
    </w:p>
    <w:p>
      <w:pPr>
        <w:shd w:val="clear" w:color="auto" w:fill="FFFFFF"/>
        <w:spacing w:line="360" w:lineRule="auto"/>
        <w:ind w:firstLine="482" w:firstLineChars="200"/>
        <w:rPr>
          <w:rFonts w:ascii="仿宋" w:hAnsi="仿宋" w:eastAsia="仿宋"/>
          <w:b/>
          <w:bCs/>
          <w:color w:val="333333"/>
        </w:rPr>
      </w:pPr>
      <w:r>
        <w:rPr>
          <w:rFonts w:hint="eastAsia" w:ascii="仿宋" w:hAnsi="仿宋" w:eastAsia="仿宋"/>
          <w:b/>
          <w:bCs/>
          <w:color w:val="333333"/>
        </w:rPr>
        <w:t>特色之二：产教融合，为国家、上海提供高质量的养老服务人才。</w:t>
      </w:r>
    </w:p>
    <w:p>
      <w:pPr>
        <w:shd w:val="clear" w:color="auto" w:fill="FFFFFF"/>
        <w:spacing w:line="360" w:lineRule="auto"/>
        <w:ind w:firstLine="480" w:firstLineChars="200"/>
        <w:rPr>
          <w:rFonts w:ascii="仿宋" w:hAnsi="仿宋" w:eastAsia="仿宋"/>
          <w:color w:val="333333"/>
        </w:rPr>
      </w:pPr>
      <w:r>
        <w:rPr>
          <w:rFonts w:hint="eastAsia" w:ascii="仿宋" w:hAnsi="仿宋" w:eastAsia="仿宋"/>
          <w:color w:val="333333"/>
        </w:rPr>
        <w:t>本专业知识结构以养老知识与管理知识（人力、营销、金融、房产）+人文素养（中华孝道文化）融合为主。主要课程有《养老机构运营管理（英语）》《养老金融》《社区养老服务》《智能养老》《老年政策法规》《养老保险》《慢性病与认知症护理》《养老机构运营管理》《老年经济学》《养老机构案例研究》等。</w:t>
      </w:r>
    </w:p>
    <w:p>
      <w:pPr>
        <w:shd w:val="clear" w:color="auto" w:fill="FFFFFF"/>
        <w:spacing w:line="360" w:lineRule="auto"/>
        <w:ind w:firstLine="480" w:firstLineChars="200"/>
        <w:rPr>
          <w:rFonts w:ascii="仿宋" w:hAnsi="仿宋" w:eastAsia="仿宋"/>
          <w:color w:val="333333"/>
        </w:rPr>
      </w:pPr>
      <w:r>
        <w:rPr>
          <w:rFonts w:hint="eastAsia" w:ascii="仿宋" w:hAnsi="仿宋" w:eastAsia="仿宋"/>
          <w:color w:val="333333"/>
        </w:rPr>
        <w:t>在学生的具体培养上，采取产教模式融合，理论教学（课堂）与实践教学（养老院、社区、产学研合作一贯制），学校结合多方做全周期培养，注重产学研结合，学校的主干课程以外，每学年会安排学生进行6-8周的企业实训。上海工程技术大学与上海人寿堂养老服务集团、国药康养实业（上海）有限公司、九如城养老集团、泰康之家上海分公司开展产教融合战略合作，将持续与上海人寿堂养老服务（集团）有限公司、上海九如城企业（集团）有限公司、上海万宏工业投资（集团）有限公司等机构携手定向培养“养老规划师”，实现学生从大一至大四年级的全周期产学研实践教育，实施校企“人才共育、效果共评”，邀请企业专家、九如城集团、资深养老规划师等进校园，开展养老服务专题研讨会或前沿讲座，着力提升学生的专业认知、理论素养、应用能力和就业竞争力，为企业和社会培育、输出优秀人才。养老服务管理本科专业在人才培养上已形成基于社会需求的鲜明创新点，包括养老知识与管理知识相融合、理论教学与实践教学相融合等，同时将坚持全球视域、国际眼光，加强高校与研究机构、行业单位的合作，形成开放、合作、交流的产学研用平台。</w:t>
      </w:r>
    </w:p>
    <w:p>
      <w:pPr>
        <w:shd w:val="clear" w:color="auto" w:fill="FFFFFF"/>
        <w:spacing w:line="360" w:lineRule="auto"/>
        <w:ind w:firstLine="482" w:firstLineChars="200"/>
        <w:rPr>
          <w:rFonts w:ascii="仿宋" w:hAnsi="仿宋" w:eastAsia="仿宋"/>
          <w:b/>
          <w:bCs/>
          <w:color w:val="333333"/>
        </w:rPr>
      </w:pPr>
      <w:r>
        <w:rPr>
          <w:rFonts w:hint="eastAsia" w:ascii="仿宋" w:hAnsi="仿宋" w:eastAsia="仿宋"/>
          <w:b/>
          <w:bCs/>
          <w:color w:val="333333"/>
        </w:rPr>
        <w:t>特色之三：知行合一，创新发展，致力于破解人口老龄化难题。</w:t>
      </w:r>
    </w:p>
    <w:p>
      <w:pPr>
        <w:shd w:val="clear" w:color="auto" w:fill="FFFFFF"/>
        <w:spacing w:line="360" w:lineRule="auto"/>
        <w:ind w:firstLine="480" w:firstLineChars="200"/>
        <w:rPr>
          <w:rFonts w:ascii="仿宋" w:hAnsi="仿宋" w:eastAsia="仿宋"/>
          <w:color w:val="333333"/>
        </w:rPr>
      </w:pPr>
      <w:r>
        <w:rPr>
          <w:rFonts w:hint="eastAsia" w:ascii="仿宋" w:hAnsi="仿宋" w:eastAsia="仿宋"/>
          <w:color w:val="333333"/>
        </w:rPr>
        <w:t>与长宁区、松江区、普陀区等合作共建产教融合基地，培养双师型教师队伍。与长宁区共建养老服务管理人才实训实习基地，该基地项目是长宁区养老服务四方合作框架下明确的十个重点任务之一。项目主要面向上海工程技术大学等高校的养老服务与管理等相关专业的本科生、研究生，制定“大学生暑期实习、实践课题调研、为老服务志愿”三个模块，通过校内导师辅导、企业导师带教的培养模式，进一步推动产学研实践教育有机融合并落地，达到校企“人才共育、效果共评”，着力提升学生的专业认知、理论素养、应用能力和就业竞争力的预期效果，同时为企业和社会培育、输出优秀人才。专业的多名专家、教授成为首批基地项目导师，为学生实习实践提供全程指导和护航。</w:t>
      </w:r>
    </w:p>
    <w:p>
      <w:pPr>
        <w:shd w:val="clear" w:color="auto" w:fill="FFFFFF"/>
        <w:spacing w:line="360" w:lineRule="auto"/>
        <w:ind w:firstLine="480" w:firstLineChars="200"/>
        <w:rPr>
          <w:rFonts w:ascii="仿宋" w:hAnsi="仿宋" w:eastAsia="仿宋"/>
          <w:color w:val="333333"/>
        </w:rPr>
      </w:pPr>
      <w:r>
        <w:rPr>
          <w:rFonts w:hint="eastAsia" w:ascii="仿宋" w:hAnsi="仿宋" w:eastAsia="仿宋"/>
          <w:color w:val="333333"/>
        </w:rPr>
        <w:t>努力培养养老服务管理专业学生的职业归属感，逐步提升他们的职业认同感，帮助他们更多地了解、适应老年服务岗位需求，更好地将理论与实践相结合，将所学理论知识运用到工作中去，为企业和社会培育、输出优秀人才打下良好的基础。此外，该专业还将积极探索“医养康护”+“养老管理”多形式养老服务模式，规范养老机构运营、社区居家养老服务等行业标准，力争塑造养老机构经理人、社区养老规划师等新型就业岗位。</w:t>
      </w:r>
    </w:p>
    <w:p>
      <w:pPr>
        <w:pStyle w:val="3"/>
        <w:spacing w:after="120" w:line="415" w:lineRule="auto"/>
        <w:jc w:val="left"/>
        <w:rPr>
          <w:rFonts w:ascii="宋体" w:hAnsi="宋体"/>
          <w:sz w:val="28"/>
          <w:szCs w:val="28"/>
        </w:rPr>
      </w:pPr>
      <w:bookmarkStart w:id="109" w:name="_Toc154735797"/>
      <w:r>
        <w:rPr>
          <w:rFonts w:ascii="宋体" w:hAnsi="宋体"/>
          <w:sz w:val="28"/>
          <w:szCs w:val="28"/>
        </w:rPr>
        <w:t>9.</w:t>
      </w:r>
      <w:r>
        <w:rPr>
          <w:rFonts w:hint="eastAsia" w:ascii="宋体" w:hAnsi="宋体"/>
          <w:sz w:val="28"/>
          <w:szCs w:val="28"/>
        </w:rPr>
        <w:t>问题与对策</w:t>
      </w:r>
      <w:bookmarkEnd w:id="109"/>
    </w:p>
    <w:p>
      <w:pPr>
        <w:pStyle w:val="3"/>
        <w:spacing w:after="120" w:line="415" w:lineRule="auto"/>
        <w:jc w:val="left"/>
        <w:rPr>
          <w:rFonts w:ascii="宋体" w:hAnsi="宋体"/>
          <w:sz w:val="28"/>
          <w:szCs w:val="28"/>
        </w:rPr>
      </w:pPr>
      <w:r>
        <w:rPr>
          <w:rFonts w:hint="eastAsia" w:ascii="宋体" w:hAnsi="宋体"/>
          <w:sz w:val="28"/>
          <w:szCs w:val="28"/>
        </w:rPr>
        <w:t>9.1主要问题</w:t>
      </w:r>
    </w:p>
    <w:p>
      <w:pPr>
        <w:widowControl w:val="0"/>
        <w:spacing w:line="360" w:lineRule="auto"/>
        <w:ind w:firstLine="482" w:firstLineChars="200"/>
        <w:rPr>
          <w:rFonts w:ascii="仿宋" w:hAnsi="仿宋" w:eastAsia="仿宋" w:cstheme="minorBidi"/>
          <w:b/>
          <w:bCs/>
          <w:kern w:val="2"/>
        </w:rPr>
      </w:pPr>
      <w:bookmarkStart w:id="110" w:name="_Toc365726816"/>
      <w:bookmarkStart w:id="111" w:name="_Toc437257597"/>
      <w:r>
        <w:rPr>
          <w:rFonts w:hint="eastAsia" w:ascii="仿宋" w:hAnsi="仿宋" w:eastAsia="仿宋" w:cstheme="minorBidi"/>
          <w:b/>
          <w:bCs/>
          <w:kern w:val="2"/>
        </w:rPr>
        <w:t>（1）师资队伍建设有待进一步加强</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我校养老服务管理专业自2020年成立以来，师资队伍规模不断扩大，专业教师质量不断提高，无论是学历结构、年龄结构还是职称结构等方面，都切实满足了学科均衡发展的需要，养老服务管理专业成绩显著。师资队伍在目前的基础上，未来有两大发展完善方向：第一，专业领军人才比例亟需提升。与上海同类高校相比，我校养老服务管理专业的高水平人才建设属领先位置，但是高水平人才比例还需较大提高，缺乏在国内有较大影响的专家、教授；第二，专业青年教师师资质量有待提高。我校养老服务管理专业中青年教师普遍尚处在成长之中，学科研究的积淀不够深厚，参与国际交流多为短期学习，对教师的国际化水平提高比较有限，在个人专业发展方面仍缺乏经验，因此本专业青年教师的师资质量仍有待进一步提升。</w:t>
      </w:r>
    </w:p>
    <w:p>
      <w:pPr>
        <w:widowControl w:val="0"/>
        <w:spacing w:line="360" w:lineRule="auto"/>
        <w:ind w:firstLine="482" w:firstLineChars="200"/>
        <w:rPr>
          <w:rFonts w:ascii="仿宋" w:hAnsi="仿宋" w:eastAsia="仿宋" w:cstheme="minorBidi"/>
          <w:b/>
          <w:bCs/>
          <w:kern w:val="2"/>
        </w:rPr>
      </w:pPr>
      <w:r>
        <w:rPr>
          <w:rFonts w:hint="eastAsia" w:ascii="仿宋" w:hAnsi="仿宋" w:eastAsia="仿宋" w:cstheme="minorBidi"/>
          <w:b/>
          <w:bCs/>
          <w:kern w:val="2"/>
        </w:rPr>
        <w:t>（2）实践教学环节有待进一步完善</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已经设置了一系列实践教学课程，学生反映良好。不过，学生参与实践教学环节的计划性、周密性和高效性还不够，实践教学的方式还有待进一步挖掘，实践教学的途径还有待进一步丰富。在产学合作与专业实习的过程中，学生出勤好但在工作岗位上参与度较低，部分同学并未实现角色的不可缺失性；老师的指导过程中亦是缺乏深度参与和互动，这些都需要进一步完善。</w:t>
      </w:r>
    </w:p>
    <w:p>
      <w:pPr>
        <w:widowControl w:val="0"/>
        <w:spacing w:line="360" w:lineRule="auto"/>
        <w:ind w:firstLine="482" w:firstLineChars="200"/>
        <w:rPr>
          <w:rFonts w:ascii="仿宋" w:hAnsi="仿宋" w:eastAsia="仿宋" w:cstheme="minorBidi"/>
          <w:b/>
          <w:bCs/>
          <w:kern w:val="2"/>
        </w:rPr>
      </w:pPr>
      <w:bookmarkStart w:id="112" w:name="_Toc437257599"/>
      <w:r>
        <w:rPr>
          <w:rFonts w:hint="eastAsia" w:ascii="仿宋" w:hAnsi="仿宋" w:eastAsia="仿宋" w:cstheme="minorBidi"/>
          <w:b/>
          <w:bCs/>
          <w:kern w:val="2"/>
        </w:rPr>
        <w:t>（3）学生国际化水平有待进一步加强</w:t>
      </w:r>
      <w:bookmarkEnd w:id="112"/>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学生的国际化水平直接影响到学生的综合素质和社会发展适应性，我校养老服务管理专业致力于培养具有国际视野的现代综合管理人才，目前，国内高校在人才培养上都非常重视人才的国际化培养，通过多种途径来推动学生培养的国际化合作。我校养老服务管理专业也一直积极开展国际合作教育，比较而言，国际化教育力度尚且不够，受众学生人数有待提高，合作方式有待丰富，合作质量有待提高。</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全英语课程的开设能力和开设水平也有待进一步提升。养老服务管理专业学生的英语学习能力相对较弱，制约了全英语课程的开设和教学效果。目前，本专业已经开设了一门全英语专业课程——《养老机构运营管理（全英语）》——来提高学生的专业英语能力。全英语课程教学产生了一定的效果，受到了学生的欢迎，客观上也使学生的英语水平得到了提高，不过，全英语课程如何才能够更好地贴近学生，如果更好地将专业教学与语言训练结合起来，仍然需要进一步探索。如何提高学生的英语学习能力是本专业在以后建设中要重点突破的难点。</w:t>
      </w:r>
    </w:p>
    <w:p>
      <w:pPr>
        <w:widowControl w:val="0"/>
        <w:spacing w:line="360" w:lineRule="auto"/>
        <w:ind w:firstLine="482" w:firstLineChars="200"/>
        <w:rPr>
          <w:rFonts w:ascii="仿宋" w:hAnsi="仿宋" w:eastAsia="仿宋" w:cstheme="minorBidi"/>
          <w:b/>
          <w:bCs/>
          <w:kern w:val="2"/>
        </w:rPr>
      </w:pPr>
      <w:r>
        <w:rPr>
          <w:rFonts w:hint="eastAsia" w:ascii="仿宋" w:hAnsi="仿宋" w:eastAsia="仿宋" w:cstheme="minorBidi"/>
          <w:b/>
          <w:bCs/>
          <w:kern w:val="2"/>
        </w:rPr>
        <w:t>（4）教学质量反馈需要进一步完善</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在专业建设发展过程中，工商管理系构建了以师资培养为支撑、以理论知识体系和实践知识体系为两翼的人才培养模式。通过互相听课、教学检查、学生评教、考试、学生座谈反馈等实现教学过程质量的保障。不过，在教学质量反馈中，需要进一步拓宽获得面，激励学生更好、更多地对教学质量及教学过程提出建议，更好地掌握教学质量的反馈。</w:t>
      </w:r>
      <w:bookmarkEnd w:id="110"/>
      <w:bookmarkEnd w:id="111"/>
      <w:bookmarkStart w:id="113" w:name="_Toc61005827"/>
    </w:p>
    <w:p>
      <w:pPr>
        <w:widowControl w:val="0"/>
        <w:spacing w:line="360" w:lineRule="auto"/>
        <w:ind w:firstLine="482" w:firstLineChars="200"/>
        <w:rPr>
          <w:rFonts w:ascii="仿宋" w:hAnsi="仿宋" w:eastAsia="仿宋" w:cstheme="minorBidi"/>
          <w:b/>
          <w:bCs/>
          <w:kern w:val="2"/>
        </w:rPr>
      </w:pPr>
      <w:r>
        <w:rPr>
          <w:rFonts w:hint="eastAsia" w:ascii="仿宋" w:hAnsi="仿宋" w:eastAsia="仿宋" w:cstheme="minorBidi"/>
          <w:b/>
          <w:bCs/>
          <w:kern w:val="2"/>
        </w:rPr>
        <w:t>（5）毕业生反馈机制有待进一步完善</w:t>
      </w:r>
    </w:p>
    <w:p>
      <w:pPr>
        <w:widowControl w:val="0"/>
        <w:spacing w:line="360" w:lineRule="auto"/>
        <w:ind w:firstLine="480" w:firstLineChars="200"/>
        <w:rPr>
          <w:rFonts w:ascii="仿宋" w:hAnsi="仿宋" w:eastAsia="仿宋" w:cstheme="minorBidi"/>
          <w:kern w:val="2"/>
        </w:rPr>
      </w:pPr>
      <w:r>
        <w:rPr>
          <w:rFonts w:ascii="仿宋" w:hAnsi="仿宋" w:eastAsia="仿宋" w:cstheme="minorBidi"/>
          <w:kern w:val="2"/>
        </w:rPr>
        <w:t>目前，我校养老服务管理专业人才培养目标主要是把学生培养为系统掌握养老服务管理专业知识的高等应用型管理人才。</w:t>
      </w:r>
      <w:r>
        <w:rPr>
          <w:rFonts w:hint="eastAsia" w:ascii="仿宋" w:hAnsi="仿宋" w:eastAsia="仿宋" w:cstheme="minorBidi"/>
          <w:kern w:val="2"/>
        </w:rPr>
        <w:t>由于本专业自2020年成立，尚未有毕业生，</w:t>
      </w:r>
      <w:r>
        <w:rPr>
          <w:rFonts w:ascii="仿宋" w:hAnsi="仿宋" w:eastAsia="仿宋" w:cstheme="minorBidi"/>
          <w:kern w:val="2"/>
        </w:rPr>
        <w:t>这一人才培养目标目前尚未建立起动态的、持续的反馈机制，人才培养目标还尚未能有效地反映和对接社会需求。</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本专业将在2024年7月迎来首批毕业生。基于毕业生的角度，建立</w:t>
      </w:r>
      <w:r>
        <w:rPr>
          <w:rFonts w:ascii="仿宋" w:hAnsi="仿宋" w:eastAsia="仿宋" w:cstheme="minorBidi"/>
          <w:kern w:val="2"/>
        </w:rPr>
        <w:t>人才培养目标动态的、持续的反馈机制，</w:t>
      </w:r>
      <w:r>
        <w:rPr>
          <w:rFonts w:hint="eastAsia" w:ascii="仿宋" w:hAnsi="仿宋" w:eastAsia="仿宋" w:cstheme="minorBidi"/>
          <w:kern w:val="2"/>
        </w:rPr>
        <w:t>对于推进人才目标的实现至关重要。建立并实施毕业生反馈机制，对于进一步指导本专业的课程设计、完善本专业的专业框架，都具有重要的理论意义和实践意义。</w:t>
      </w:r>
    </w:p>
    <w:p>
      <w:pPr>
        <w:pStyle w:val="3"/>
        <w:spacing w:after="120" w:line="415" w:lineRule="auto"/>
        <w:jc w:val="left"/>
        <w:rPr>
          <w:rFonts w:ascii="宋体" w:hAnsi="宋体"/>
          <w:sz w:val="28"/>
          <w:szCs w:val="28"/>
        </w:rPr>
      </w:pPr>
      <w:r>
        <w:rPr>
          <w:rFonts w:hint="eastAsia" w:ascii="宋体" w:hAnsi="宋体"/>
          <w:sz w:val="28"/>
          <w:szCs w:val="28"/>
        </w:rPr>
        <w:t>9.2解决问题的措施和建议</w:t>
      </w:r>
      <w:bookmarkEnd w:id="113"/>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以“国际化、协同特色”为目标，以</w:t>
      </w:r>
      <w:r>
        <w:rPr>
          <w:rFonts w:ascii="仿宋" w:hAnsi="仿宋" w:eastAsia="仿宋" w:cstheme="minorBidi"/>
          <w:kern w:val="2"/>
        </w:rPr>
        <w:t>AASCB</w:t>
      </w:r>
      <w:r>
        <w:rPr>
          <w:rFonts w:hint="eastAsia" w:ascii="仿宋" w:hAnsi="仿宋" w:eastAsia="仿宋" w:cstheme="minorBidi"/>
          <w:kern w:val="2"/>
        </w:rPr>
        <w:t>国际认证为引领，基于博士点申报和</w:t>
      </w:r>
      <w:r>
        <w:rPr>
          <w:rFonts w:ascii="仿宋" w:hAnsi="仿宋" w:eastAsia="仿宋" w:cstheme="minorBidi"/>
          <w:kern w:val="2"/>
        </w:rPr>
        <w:t>MBA</w:t>
      </w:r>
      <w:r>
        <w:rPr>
          <w:rFonts w:hint="eastAsia" w:ascii="仿宋" w:hAnsi="仿宋" w:eastAsia="仿宋" w:cstheme="minorBidi"/>
          <w:kern w:val="2"/>
        </w:rPr>
        <w:t>、</w:t>
      </w:r>
      <w:r>
        <w:rPr>
          <w:rFonts w:ascii="仿宋" w:hAnsi="仿宋" w:eastAsia="仿宋" w:cstheme="minorBidi"/>
          <w:kern w:val="2"/>
        </w:rPr>
        <w:t>MPA</w:t>
      </w:r>
      <w:r>
        <w:rPr>
          <w:rFonts w:hint="eastAsia" w:ascii="仿宋" w:hAnsi="仿宋" w:eastAsia="仿宋" w:cstheme="minorBidi"/>
          <w:kern w:val="2"/>
        </w:rPr>
        <w:t>的基础，立足于上海市乃至国家级一流本科专业的建设基础，本专业将对当前的突出问题进行整改完善，以期建设成为遵循国际标准、培养模式独特先进、综合实力居地方同类高校前列的本科专业。</w:t>
      </w:r>
    </w:p>
    <w:p>
      <w:pPr>
        <w:widowControl w:val="0"/>
        <w:spacing w:line="360" w:lineRule="auto"/>
        <w:ind w:firstLine="482" w:firstLineChars="200"/>
        <w:rPr>
          <w:rFonts w:ascii="仿宋" w:hAnsi="仿宋" w:eastAsia="仿宋" w:cstheme="minorBidi"/>
          <w:b/>
          <w:bCs/>
          <w:kern w:val="2"/>
        </w:rPr>
      </w:pPr>
      <w:bookmarkStart w:id="114" w:name="_Toc437257601"/>
      <w:bookmarkStart w:id="115" w:name="_Toc365726820"/>
      <w:r>
        <w:rPr>
          <w:rFonts w:hint="eastAsia" w:ascii="仿宋" w:hAnsi="仿宋" w:eastAsia="仿宋" w:cstheme="minorBidi"/>
          <w:b/>
          <w:bCs/>
          <w:kern w:val="2"/>
        </w:rPr>
        <w:t>（1）进一步加强高水平教师队伍建设</w:t>
      </w:r>
      <w:bookmarkEnd w:id="114"/>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继续加大人才引进和人才培养工作，并特别注意引进本领域高水平领军人才，建立高水平研究团队。拟采取以下具体方案：第一，继续推进师资国际化战略。继续面向全球招聘具有国际化背景的专业和管理人才担任双语师资和学术科研骨干，让更多的教师参与国际培训，积极组织教师参与各种与养老服务管理专业相关的学术研究组织和研究团体。第二，加强对青年教师的针对性培养。对专业近年引进的青年教师进行针对性培养，进一步完善带教导师制度，健全资深教师对青年教师的专业引导和帮教体系，为青年教师量身定制职业发展规划。</w:t>
      </w:r>
    </w:p>
    <w:bookmarkEnd w:id="115"/>
    <w:p>
      <w:pPr>
        <w:widowControl w:val="0"/>
        <w:spacing w:line="360" w:lineRule="auto"/>
        <w:ind w:firstLine="482" w:firstLineChars="200"/>
        <w:rPr>
          <w:rFonts w:ascii="仿宋" w:hAnsi="仿宋" w:eastAsia="仿宋" w:cstheme="minorBidi"/>
          <w:b/>
          <w:bCs/>
          <w:kern w:val="2"/>
        </w:rPr>
      </w:pPr>
      <w:bookmarkStart w:id="116" w:name="_Toc437257602"/>
      <w:r>
        <w:rPr>
          <w:rFonts w:hint="eastAsia" w:ascii="仿宋" w:hAnsi="仿宋" w:eastAsia="仿宋" w:cstheme="minorBidi"/>
          <w:b/>
          <w:bCs/>
          <w:kern w:val="2"/>
        </w:rPr>
        <w:t>（2）进一步完善实践教学环节，提升实践教学环节教育教学质量</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在实践教学环节，将主要细化工作规则与流程，强化学生与老师的职责，尤其是加强对学生的参与度的激励以及对教师指导工作的监督，拟采取以下具体方案：</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1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①</w:t>
      </w:r>
      <w:r>
        <w:rPr>
          <w:rFonts w:ascii="仿宋" w:hAnsi="仿宋" w:eastAsia="仿宋" w:cstheme="minorBidi"/>
          <w:b/>
          <w:bCs/>
          <w:kern w:val="2"/>
        </w:rPr>
        <w:fldChar w:fldCharType="end"/>
      </w:r>
      <w:r>
        <w:rPr>
          <w:rFonts w:ascii="仿宋" w:hAnsi="仿宋" w:eastAsia="仿宋" w:cstheme="minorBidi"/>
          <w:b/>
          <w:bCs/>
          <w:kern w:val="2"/>
        </w:rPr>
        <w:t xml:space="preserve"> </w:t>
      </w:r>
      <w:r>
        <w:rPr>
          <w:rFonts w:hint="eastAsia" w:ascii="仿宋" w:hAnsi="仿宋" w:eastAsia="仿宋" w:cstheme="minorBidi"/>
          <w:b/>
          <w:bCs/>
          <w:kern w:val="2"/>
        </w:rPr>
        <w:t>进一步优化实验实习课程。</w:t>
      </w:r>
      <w:r>
        <w:rPr>
          <w:rFonts w:hint="eastAsia" w:ascii="仿宋" w:hAnsi="仿宋" w:eastAsia="仿宋" w:cstheme="minorBidi"/>
          <w:kern w:val="2"/>
        </w:rPr>
        <w:t>目前，本专业按教学方案和教学计划，实验课程开出率为</w:t>
      </w:r>
      <w:r>
        <w:rPr>
          <w:rFonts w:ascii="仿宋" w:hAnsi="仿宋" w:eastAsia="仿宋" w:cstheme="minorBidi"/>
          <w:kern w:val="2"/>
        </w:rPr>
        <w:t>100%</w:t>
      </w:r>
      <w:r>
        <w:rPr>
          <w:rFonts w:hint="eastAsia" w:ascii="仿宋" w:hAnsi="仿宋" w:eastAsia="仿宋" w:cstheme="minorBidi"/>
          <w:kern w:val="2"/>
        </w:rPr>
        <w:t>。综合性、设计性实验课程目前开出率达到</w:t>
      </w:r>
      <w:r>
        <w:rPr>
          <w:rFonts w:ascii="仿宋" w:hAnsi="仿宋" w:eastAsia="仿宋" w:cstheme="minorBidi"/>
          <w:kern w:val="2"/>
        </w:rPr>
        <w:t>100%</w:t>
      </w:r>
      <w:r>
        <w:rPr>
          <w:rFonts w:hint="eastAsia" w:ascii="仿宋" w:hAnsi="仿宋" w:eastAsia="仿宋" w:cstheme="minorBidi"/>
          <w:kern w:val="2"/>
        </w:rPr>
        <w:t>。实验教学必须提交实验大纲、实验指导书，须经教务处审核后才能开始实验课。实验结束必须百分之百归档实验资料，归档材料要求五件套：大纲、指导书、成绩单、实验报告、实习教学小结。在本专业实践教学体系中具有综合性、设计性的实验超过</w:t>
      </w:r>
      <w:r>
        <w:rPr>
          <w:rFonts w:ascii="仿宋" w:hAnsi="仿宋" w:eastAsia="仿宋" w:cstheme="minorBidi"/>
          <w:kern w:val="2"/>
        </w:rPr>
        <w:t>80%</w:t>
      </w:r>
      <w:r>
        <w:rPr>
          <w:rFonts w:hint="eastAsia" w:ascii="仿宋" w:hAnsi="仿宋" w:eastAsia="仿宋" w:cstheme="minorBidi"/>
          <w:kern w:val="2"/>
        </w:rPr>
        <w:t>，课内实验开出率是大纲要求的</w:t>
      </w:r>
      <w:r>
        <w:rPr>
          <w:rFonts w:ascii="仿宋" w:hAnsi="仿宋" w:eastAsia="仿宋" w:cstheme="minorBidi"/>
          <w:kern w:val="2"/>
        </w:rPr>
        <w:t>100%</w:t>
      </w:r>
      <w:r>
        <w:rPr>
          <w:rFonts w:hint="eastAsia" w:ascii="仿宋" w:hAnsi="仿宋" w:eastAsia="仿宋" w:cstheme="minorBidi"/>
          <w:kern w:val="2"/>
        </w:rPr>
        <w:t>；</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2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②</w:t>
      </w:r>
      <w:r>
        <w:rPr>
          <w:rFonts w:ascii="仿宋" w:hAnsi="仿宋" w:eastAsia="仿宋" w:cstheme="minorBidi"/>
          <w:b/>
          <w:bCs/>
          <w:kern w:val="2"/>
        </w:rPr>
        <w:fldChar w:fldCharType="end"/>
      </w:r>
      <w:r>
        <w:rPr>
          <w:rFonts w:hint="eastAsia" w:ascii="仿宋" w:hAnsi="仿宋" w:eastAsia="仿宋" w:cstheme="minorBidi"/>
          <w:b/>
          <w:bCs/>
          <w:kern w:val="2"/>
        </w:rPr>
        <w:t>进一步加强专业实习指导。</w:t>
      </w:r>
      <w:r>
        <w:rPr>
          <w:rFonts w:hint="eastAsia" w:ascii="仿宋" w:hAnsi="仿宋" w:eastAsia="仿宋" w:cstheme="minorBidi"/>
          <w:kern w:val="2"/>
        </w:rPr>
        <w:t>本专业学生的实习采用专业实习、产学合作实习等线下线上多种混合形式。各类实习目的明确，实习内容具体，对每届学生实习都要求有实习计划、实习大纲、实习指导书、实习报告、实习总结。加强对专业实习指导的过程管理，联系专门的实习基地，有实习教师全程负责指导；</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3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③</w:t>
      </w:r>
      <w:r>
        <w:rPr>
          <w:rFonts w:ascii="仿宋" w:hAnsi="仿宋" w:eastAsia="仿宋" w:cstheme="minorBidi"/>
          <w:b/>
          <w:bCs/>
          <w:kern w:val="2"/>
        </w:rPr>
        <w:fldChar w:fldCharType="end"/>
      </w:r>
      <w:r>
        <w:rPr>
          <w:rFonts w:hint="eastAsia" w:ascii="仿宋" w:hAnsi="仿宋" w:eastAsia="仿宋" w:cstheme="minorBidi"/>
          <w:b/>
          <w:bCs/>
          <w:kern w:val="2"/>
        </w:rPr>
        <w:t>进一步开拓校外实习基地。</w:t>
      </w:r>
      <w:r>
        <w:rPr>
          <w:rFonts w:hint="eastAsia" w:ascii="仿宋" w:hAnsi="仿宋" w:eastAsia="仿宋" w:cstheme="minorBidi"/>
          <w:kern w:val="2"/>
        </w:rPr>
        <w:t>目前学院共有实验室</w:t>
      </w:r>
      <w:r>
        <w:rPr>
          <w:rFonts w:ascii="仿宋" w:hAnsi="仿宋" w:eastAsia="仿宋" w:cstheme="minorBidi"/>
          <w:kern w:val="2"/>
        </w:rPr>
        <w:t>10</w:t>
      </w:r>
      <w:r>
        <w:rPr>
          <w:rFonts w:hint="eastAsia" w:ascii="仿宋" w:hAnsi="仿宋" w:eastAsia="仿宋" w:cstheme="minorBidi"/>
          <w:kern w:val="2"/>
        </w:rPr>
        <w:t>个，其中与专业相关主要实验室</w:t>
      </w:r>
      <w:r>
        <w:rPr>
          <w:rFonts w:ascii="仿宋" w:hAnsi="仿宋" w:eastAsia="仿宋" w:cstheme="minorBidi"/>
          <w:kern w:val="2"/>
        </w:rPr>
        <w:t>3</w:t>
      </w:r>
      <w:r>
        <w:rPr>
          <w:rFonts w:hint="eastAsia" w:ascii="仿宋" w:hAnsi="仿宋" w:eastAsia="仿宋" w:cstheme="minorBidi"/>
          <w:kern w:val="2"/>
        </w:rPr>
        <w:t>个，另有信息集成演示沙盘</w:t>
      </w:r>
      <w:r>
        <w:rPr>
          <w:rFonts w:ascii="仿宋" w:hAnsi="仿宋" w:eastAsia="仿宋" w:cstheme="minorBidi"/>
          <w:kern w:val="2"/>
        </w:rPr>
        <w:t>1</w:t>
      </w:r>
      <w:r>
        <w:rPr>
          <w:rFonts w:hint="eastAsia" w:ascii="仿宋" w:hAnsi="仿宋" w:eastAsia="仿宋" w:cstheme="minorBidi"/>
          <w:kern w:val="2"/>
        </w:rPr>
        <w:t>个。目前，专业所有主干课程均设置了相应</w:t>
      </w:r>
      <w:r>
        <w:rPr>
          <w:rFonts w:ascii="仿宋" w:hAnsi="仿宋" w:eastAsia="仿宋" w:cstheme="minorBidi"/>
          <w:kern w:val="2"/>
        </w:rPr>
        <w:t>6-24</w:t>
      </w:r>
      <w:r>
        <w:rPr>
          <w:rFonts w:hint="eastAsia" w:ascii="仿宋" w:hAnsi="仿宋" w:eastAsia="仿宋" w:cstheme="minorBidi"/>
          <w:kern w:val="2"/>
        </w:rPr>
        <w:t>课时的实验、实践课程。另外建成校外多个稳定的实习基地，确保学生专业实践与实习的需要。在见习、实习管理上，实行“基地双重管理，实训双重指导”，系部与学院共同管理学生，学院、实习单位双方各指定一名指导老师，保障实习见习工作按计划开展。目前本专业已与</w:t>
      </w:r>
      <w:r>
        <w:rPr>
          <w:rFonts w:ascii="仿宋" w:hAnsi="仿宋" w:eastAsia="仿宋" w:cstheme="minorBidi"/>
          <w:kern w:val="2"/>
        </w:rPr>
        <w:t>5</w:t>
      </w:r>
      <w:r>
        <w:rPr>
          <w:rFonts w:hint="eastAsia" w:ascii="仿宋" w:hAnsi="仿宋" w:eastAsia="仿宋" w:cstheme="minorBidi"/>
          <w:kern w:val="2"/>
        </w:rPr>
        <w:t>家企业签订了实习、产学研合作协议，建立了稳定的实习基地或实训基地，为本专业学生开展实习、实践、产学合作教育提供了保障。本专业实习基地能保证每学期至少有</w:t>
      </w:r>
      <w:r>
        <w:rPr>
          <w:rFonts w:ascii="仿宋" w:hAnsi="仿宋" w:eastAsia="仿宋" w:cstheme="minorBidi"/>
          <w:kern w:val="2"/>
        </w:rPr>
        <w:t>1</w:t>
      </w:r>
      <w:r>
        <w:rPr>
          <w:rFonts w:hint="eastAsia" w:ascii="仿宋" w:hAnsi="仿宋" w:eastAsia="仿宋" w:cstheme="minorBidi"/>
          <w:kern w:val="2"/>
        </w:rPr>
        <w:t>批学生在基地实习与实践，与产学研合作单位共建产学合作命运共同体，构筑覆盖大一至大四年级的“由进到出”的全周期产学研实践教育，实施校企“人才共育、效果共评”，着力提升学生的专业认知、理论素养、应用能力和就业竞争力，为企业和社会培育、输出优秀的从事养老事业、养老产业的应用型管理人才。</w:t>
      </w:r>
    </w:p>
    <w:p>
      <w:pPr>
        <w:widowControl w:val="0"/>
        <w:spacing w:line="360" w:lineRule="auto"/>
        <w:ind w:firstLine="482" w:firstLineChars="200"/>
        <w:rPr>
          <w:rFonts w:ascii="仿宋" w:hAnsi="仿宋" w:eastAsia="仿宋" w:cstheme="minorBidi"/>
          <w:b/>
          <w:bCs/>
          <w:kern w:val="2"/>
        </w:rPr>
      </w:pPr>
      <w:bookmarkStart w:id="117" w:name="_Toc435429122"/>
      <w:bookmarkStart w:id="118" w:name="_Toc62119343"/>
      <w:bookmarkStart w:id="119" w:name="_Toc16454"/>
      <w:bookmarkStart w:id="120" w:name="_Toc2481"/>
      <w:bookmarkStart w:id="121" w:name="_Toc103892210"/>
      <w:r>
        <w:rPr>
          <w:rFonts w:hint="eastAsia" w:ascii="仿宋" w:hAnsi="仿宋" w:eastAsia="仿宋" w:cstheme="minorBidi"/>
          <w:b/>
          <w:bCs/>
          <w:kern w:val="2"/>
        </w:rPr>
        <w:t>（3）加大经费投入</w:t>
      </w:r>
      <w:bookmarkEnd w:id="117"/>
      <w:r>
        <w:rPr>
          <w:rFonts w:hint="eastAsia" w:ascii="仿宋" w:hAnsi="仿宋" w:eastAsia="仿宋" w:cstheme="minorBidi"/>
          <w:b/>
          <w:bCs/>
          <w:kern w:val="2"/>
        </w:rPr>
        <w:t>提升学生国际化水平</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提高学生的国际化水平任重而道远。学生的英语能力培养，不仅受制于学生入学时的自身状况、学生的英语学习兴趣、英语学习能力，也受制于学生后续学习过程中所接触到学习资源。学生的国际化水平，一方面来源于视野开阔、见多识广，另一方面来源于校内的培养。拟采取以下具体方案：</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1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①</w:t>
      </w:r>
      <w:r>
        <w:rPr>
          <w:rFonts w:ascii="仿宋" w:hAnsi="仿宋" w:eastAsia="仿宋" w:cstheme="minorBidi"/>
          <w:b/>
          <w:bCs/>
          <w:kern w:val="2"/>
        </w:rPr>
        <w:fldChar w:fldCharType="end"/>
      </w:r>
      <w:r>
        <w:rPr>
          <w:rFonts w:hint="eastAsia" w:ascii="仿宋" w:hAnsi="仿宋" w:eastAsia="仿宋" w:cstheme="minorBidi"/>
          <w:b/>
          <w:bCs/>
          <w:kern w:val="2"/>
        </w:rPr>
        <w:t>建立四年一贯制的英语学习训练教学法。</w:t>
      </w:r>
      <w:r>
        <w:rPr>
          <w:rFonts w:hint="eastAsia" w:ascii="仿宋" w:hAnsi="仿宋" w:eastAsia="仿宋" w:cstheme="minorBidi"/>
          <w:kern w:val="2"/>
        </w:rPr>
        <w:t>将基础英语学习、专业英语学习、全英语课程学习、课余英语竞赛学习等英语学习资源整合起来，激励全体教师通过各种渠道帮助学生提高英语学习能力；</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2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②</w:t>
      </w:r>
      <w:r>
        <w:rPr>
          <w:rFonts w:ascii="仿宋" w:hAnsi="仿宋" w:eastAsia="仿宋" w:cstheme="minorBidi"/>
          <w:b/>
          <w:bCs/>
          <w:kern w:val="2"/>
        </w:rPr>
        <w:fldChar w:fldCharType="end"/>
      </w:r>
      <w:r>
        <w:rPr>
          <w:rFonts w:hint="eastAsia" w:ascii="仿宋" w:hAnsi="仿宋" w:eastAsia="仿宋" w:cstheme="minorBidi"/>
          <w:b/>
          <w:bCs/>
          <w:kern w:val="2"/>
        </w:rPr>
        <w:t>切实提升全英语课程教学效果。</w:t>
      </w:r>
      <w:r>
        <w:rPr>
          <w:rFonts w:hint="eastAsia" w:ascii="仿宋" w:hAnsi="仿宋" w:eastAsia="仿宋" w:cstheme="minorBidi"/>
          <w:kern w:val="2"/>
        </w:rPr>
        <w:t>进一步加强学生的英语能力培养，全英语课程要切实解决教学中存在的因材施教问题，加强集体备课，提高教师的全英语课程的授课水平和能力。同时，专业将积极引导学生参与全英语课程的教学，激励学生主动参与，以提高教学效果和教学质量；</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3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③</w:t>
      </w:r>
      <w:r>
        <w:rPr>
          <w:rFonts w:ascii="仿宋" w:hAnsi="仿宋" w:eastAsia="仿宋" w:cstheme="minorBidi"/>
          <w:b/>
          <w:bCs/>
          <w:kern w:val="2"/>
        </w:rPr>
        <w:fldChar w:fldCharType="end"/>
      </w:r>
      <w:r>
        <w:rPr>
          <w:rFonts w:hint="eastAsia" w:ascii="仿宋" w:hAnsi="仿宋" w:eastAsia="仿宋" w:cstheme="minorBidi"/>
          <w:b/>
          <w:bCs/>
          <w:kern w:val="2"/>
        </w:rPr>
        <w:t>加强院校间合作与交流。</w:t>
      </w:r>
      <w:r>
        <w:rPr>
          <w:rFonts w:hint="eastAsia" w:ascii="仿宋" w:hAnsi="仿宋" w:eastAsia="仿宋" w:cstheme="minorBidi"/>
          <w:kern w:val="2"/>
        </w:rPr>
        <w:t>尤其是要加强与国内外知名高校和同类型高校的合作与交流，开展学分互换活动，积极推动校际合作，培养教师的国际视野和获取国外先进经验，解决大部分教师应试教育思维模式，改进教学方法和教学思路，更加注重学生能力培养和实践教学；</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4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④</w:t>
      </w:r>
      <w:r>
        <w:rPr>
          <w:rFonts w:ascii="仿宋" w:hAnsi="仿宋" w:eastAsia="仿宋" w:cstheme="minorBidi"/>
          <w:b/>
          <w:bCs/>
          <w:kern w:val="2"/>
        </w:rPr>
        <w:fldChar w:fldCharType="end"/>
      </w:r>
      <w:r>
        <w:rPr>
          <w:rFonts w:hint="eastAsia" w:ascii="仿宋" w:hAnsi="仿宋" w:eastAsia="仿宋" w:cstheme="minorBidi"/>
          <w:b/>
          <w:bCs/>
          <w:kern w:val="2"/>
        </w:rPr>
        <w:t>继续凝练创新产教融合特色。</w:t>
      </w:r>
      <w:r>
        <w:rPr>
          <w:rFonts w:hint="eastAsia" w:ascii="仿宋" w:hAnsi="仿宋" w:eastAsia="仿宋" w:cstheme="minorBidi"/>
          <w:kern w:val="2"/>
        </w:rPr>
        <w:t>改进不足，将实施专业基础知识传授和创新能力培养并举，增强专业发展潜力；优化人才培养模式、强化师资队伍、完善教学条件、深化教学方法和手段改革、坚持校企合作办学，实施形式多样的素质教育，使学生的综合素质、创造能力和个性发展得到充分地提高，培养出具有扎实科学理论知识，同时又具备国际视野的、勇于创新实践。</w:t>
      </w:r>
    </w:p>
    <w:bookmarkEnd w:id="118"/>
    <w:bookmarkEnd w:id="119"/>
    <w:bookmarkEnd w:id="120"/>
    <w:bookmarkEnd w:id="121"/>
    <w:p>
      <w:pPr>
        <w:widowControl w:val="0"/>
        <w:spacing w:line="360" w:lineRule="auto"/>
        <w:ind w:firstLine="482" w:firstLineChars="200"/>
        <w:rPr>
          <w:rFonts w:ascii="仿宋" w:hAnsi="仿宋" w:eastAsia="仿宋" w:cstheme="minorBidi"/>
          <w:b/>
          <w:bCs/>
          <w:kern w:val="2"/>
        </w:rPr>
      </w:pPr>
      <w:r>
        <w:rPr>
          <w:rFonts w:hint="eastAsia" w:ascii="仿宋" w:hAnsi="仿宋" w:eastAsia="仿宋" w:cstheme="minorBidi"/>
          <w:b/>
          <w:bCs/>
          <w:kern w:val="2"/>
        </w:rPr>
        <w:t>（4）进一步完善教学质量监控，深化教学改革</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养老服务管理专业将进一步完善教学质量监控，实时掌握教学质量反馈。在坚持深化教学改革的基础上，进一步完善启发性教学模式，推广探究型教学模式，使探究型教学方法拓展到本专业所有课程教学中去。将在专业基础课、专业特色课、专业选修课统一步调的基础上，逐步实现不同课程不同方法，不同课程的差异化改革。拟采取以下具体方案：</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1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①</w:t>
      </w:r>
      <w:r>
        <w:rPr>
          <w:rFonts w:ascii="仿宋" w:hAnsi="仿宋" w:eastAsia="仿宋" w:cstheme="minorBidi"/>
          <w:b/>
          <w:bCs/>
          <w:kern w:val="2"/>
        </w:rPr>
        <w:fldChar w:fldCharType="end"/>
      </w:r>
      <w:r>
        <w:rPr>
          <w:rFonts w:hint="eastAsia" w:ascii="仿宋" w:hAnsi="仿宋" w:eastAsia="仿宋" w:cstheme="minorBidi"/>
          <w:b/>
          <w:bCs/>
          <w:kern w:val="2"/>
        </w:rPr>
        <w:t>进一步完善教学质量监控机制。</w:t>
      </w:r>
      <w:r>
        <w:rPr>
          <w:rFonts w:hint="eastAsia" w:ascii="仿宋" w:hAnsi="仿宋" w:eastAsia="仿宋" w:cstheme="minorBidi"/>
          <w:kern w:val="2"/>
        </w:rPr>
        <w:t>本专业完善了教学质量监控体系，对课堂教学结果反馈，例如督导听课、领导听课、同行听课、学生评教等情况做到实时掌握，有错必纠；对课堂后教学情况，例如试卷及教学资料检查情况等进行实时检查，并参照教师学生座谈会情况及时高效掌握学生反馈，在教学质量月活动中对全体教师进行普查，在学生学习与就业满意度调查等中查看教学相关情况。本专业教师在课程结束后会及时查看学生评教，针对学生提出的问题及要求有则改之无则加勉，进一步改进自己的授课，让学生更好地获得知识；也会综合前述各类听课例如督导反馈的意见、师生反馈的意见等，针对个别老师个别约谈，补齐短板；此外，实时掌握毕业要求和培养目标的达成情况，未来对于毕业生的调研也将是本专业教学质量评估的一大重点。</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2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②</w:t>
      </w:r>
      <w:r>
        <w:rPr>
          <w:rFonts w:ascii="仿宋" w:hAnsi="仿宋" w:eastAsia="仿宋" w:cstheme="minorBidi"/>
          <w:b/>
          <w:bCs/>
          <w:kern w:val="2"/>
        </w:rPr>
        <w:fldChar w:fldCharType="end"/>
      </w:r>
      <w:r>
        <w:rPr>
          <w:rFonts w:hint="eastAsia" w:ascii="仿宋" w:hAnsi="仿宋" w:eastAsia="仿宋" w:cstheme="minorBidi"/>
          <w:b/>
          <w:bCs/>
          <w:kern w:val="2"/>
        </w:rPr>
        <w:t>进一步完善教学内容。</w:t>
      </w:r>
      <w:r>
        <w:rPr>
          <w:rFonts w:hint="eastAsia" w:ascii="仿宋" w:hAnsi="仿宋" w:eastAsia="仿宋" w:cstheme="minorBidi"/>
          <w:kern w:val="2"/>
        </w:rPr>
        <w:t>本专业近年来加强对教学内容的研究，鼓励教师积极参与教学研究项目和教学改革项目申报。主干课程使用的教材质量有保证，内容处理得当。整个专业的老师开展课程思政与专业课程的有效融合的讨论，积极准备申请教学研究项目和改革项目。例如罗娟老师教授的《养老服务管理概论》课程是养老服务管理专业的主干核心课程，目的是培养适应行业新趋势、养老新模式、老人新需求的养老服务行业的管理型人才，为老年服务和管理开设了必备的基础理论知识和专业知识。王玮老师教授的《老年社会工作》结合学生在养老服务机构中实习中获得的经验和所遇问题，进行理论知识和实践能力结合，实际问题与课堂内容渗透，培养学生实际分析问题和解决问题的能力，具有国际视野和奉献精神，提高学生养老服务管理的综合能力和基本技能。</w:t>
      </w:r>
      <w:bookmarkStart w:id="122" w:name="_Toc103892197"/>
      <w:bookmarkStart w:id="123" w:name="_Toc62119330"/>
      <w:bookmarkStart w:id="124" w:name="_Toc24510"/>
      <w:bookmarkStart w:id="125" w:name="_Toc10067"/>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3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③</w:t>
      </w:r>
      <w:r>
        <w:rPr>
          <w:rFonts w:ascii="仿宋" w:hAnsi="仿宋" w:eastAsia="仿宋" w:cstheme="minorBidi"/>
          <w:b/>
          <w:bCs/>
          <w:kern w:val="2"/>
        </w:rPr>
        <w:fldChar w:fldCharType="end"/>
      </w:r>
      <w:r>
        <w:rPr>
          <w:rFonts w:hint="eastAsia" w:ascii="仿宋" w:hAnsi="仿宋" w:eastAsia="仿宋" w:cstheme="minorBidi"/>
          <w:b/>
          <w:bCs/>
          <w:kern w:val="2"/>
        </w:rPr>
        <w:t>进一步改革教学方法</w:t>
      </w:r>
      <w:bookmarkEnd w:id="122"/>
      <w:bookmarkEnd w:id="123"/>
      <w:bookmarkEnd w:id="124"/>
      <w:bookmarkEnd w:id="125"/>
      <w:r>
        <w:rPr>
          <w:rFonts w:hint="eastAsia" w:ascii="仿宋" w:hAnsi="仿宋" w:eastAsia="仿宋" w:cstheme="minorBidi"/>
          <w:b/>
          <w:bCs/>
          <w:kern w:val="2"/>
        </w:rPr>
        <w:t>，加强教学资源利用。</w:t>
      </w:r>
      <w:r>
        <w:rPr>
          <w:rFonts w:hint="eastAsia" w:ascii="仿宋" w:hAnsi="仿宋" w:eastAsia="仿宋" w:cstheme="minorBidi"/>
          <w:kern w:val="2"/>
        </w:rPr>
        <w:t>本专业教师重视教学方法改革，不断改进多媒体教学手段的运用。推行智慧教学，利用智慧教室、</w:t>
      </w:r>
      <w:r>
        <w:rPr>
          <w:rFonts w:ascii="仿宋" w:hAnsi="仿宋" w:eastAsia="仿宋" w:cstheme="minorBidi"/>
          <w:kern w:val="2"/>
        </w:rPr>
        <w:t>5G</w:t>
      </w:r>
      <w:r>
        <w:rPr>
          <w:rFonts w:hint="eastAsia" w:ascii="仿宋" w:hAnsi="仿宋" w:eastAsia="仿宋" w:cstheme="minorBidi"/>
          <w:kern w:val="2"/>
        </w:rPr>
        <w:t>、互联网等</w:t>
      </w:r>
      <w:bookmarkStart w:id="126" w:name="_Toc62119331"/>
      <w:bookmarkStart w:id="127" w:name="_Toc27212"/>
      <w:bookmarkStart w:id="128" w:name="_Toc24293"/>
      <w:bookmarkStart w:id="129" w:name="_Toc103892198"/>
      <w:r>
        <w:rPr>
          <w:rFonts w:hint="eastAsia" w:ascii="仿宋" w:hAnsi="仿宋" w:eastAsia="仿宋" w:cstheme="minorBidi"/>
          <w:kern w:val="2"/>
        </w:rPr>
        <w:t>信息技术，推进课堂教学改革，促进现代信息技术与教育教学深度融合。</w:t>
      </w:r>
      <w:bookmarkEnd w:id="126"/>
      <w:bookmarkEnd w:id="127"/>
      <w:bookmarkEnd w:id="128"/>
      <w:bookmarkEnd w:id="129"/>
      <w:r>
        <w:rPr>
          <w:rFonts w:hint="eastAsia" w:ascii="仿宋" w:hAnsi="仿宋" w:eastAsia="仿宋" w:cstheme="minorBidi"/>
          <w:kern w:val="2"/>
        </w:rPr>
        <w:t>采用多媒体、计算机网络资源等辅助手段进行教学，聘请校内外专家为学生开设讲座，开展双语教学，人力资源、企业战略管理等校级以上精品课程利用精品课程网站进行一定程度的网络教学尝试，开放部分实验室作为学生自主创新和自主学习的必要场所。</w:t>
      </w:r>
    </w:p>
    <w:p>
      <w:pPr>
        <w:widowControl w:val="0"/>
        <w:spacing w:line="360" w:lineRule="auto"/>
        <w:ind w:firstLine="482" w:firstLineChars="200"/>
        <w:rPr>
          <w:rFonts w:ascii="仿宋" w:hAnsi="仿宋" w:eastAsia="仿宋" w:cstheme="minorBidi"/>
          <w:b/>
          <w:bCs/>
          <w:kern w:val="2"/>
        </w:rPr>
      </w:pPr>
      <w:r>
        <w:rPr>
          <w:rFonts w:hint="eastAsia" w:ascii="仿宋" w:hAnsi="仿宋" w:eastAsia="仿宋" w:cstheme="minorBidi"/>
          <w:b/>
          <w:bCs/>
          <w:kern w:val="2"/>
        </w:rPr>
        <w:t>（5）进一步完善毕业生反馈机制</w:t>
      </w:r>
    </w:p>
    <w:p>
      <w:pPr>
        <w:widowControl w:val="0"/>
        <w:spacing w:line="360" w:lineRule="auto"/>
        <w:ind w:firstLine="480" w:firstLineChars="200"/>
        <w:rPr>
          <w:rFonts w:ascii="仿宋" w:hAnsi="仿宋" w:eastAsia="仿宋" w:cstheme="minorBidi"/>
          <w:kern w:val="2"/>
        </w:rPr>
      </w:pPr>
      <w:r>
        <w:rPr>
          <w:rFonts w:hint="eastAsia" w:ascii="仿宋" w:hAnsi="仿宋" w:eastAsia="仿宋" w:cstheme="minorBidi"/>
          <w:kern w:val="2"/>
        </w:rPr>
        <w:t>本专业将在2024年7月迎来首批毕业生。建立并实施毕业生反馈机制，对于完善本专业的课程设计具有重要意义。</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1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①</w:t>
      </w:r>
      <w:r>
        <w:rPr>
          <w:rFonts w:ascii="仿宋" w:hAnsi="仿宋" w:eastAsia="仿宋" w:cstheme="minorBidi"/>
          <w:b/>
          <w:bCs/>
          <w:kern w:val="2"/>
        </w:rPr>
        <w:fldChar w:fldCharType="end"/>
      </w:r>
      <w:r>
        <w:rPr>
          <w:rFonts w:hint="eastAsia" w:ascii="仿宋" w:hAnsi="仿宋" w:eastAsia="仿宋" w:cstheme="minorBidi"/>
          <w:b/>
          <w:bCs/>
          <w:kern w:val="2"/>
        </w:rPr>
        <w:t>建立当年毕业学生数据库。</w:t>
      </w:r>
      <w:r>
        <w:rPr>
          <w:rFonts w:hint="eastAsia" w:ascii="仿宋" w:hAnsi="仿宋" w:eastAsia="仿宋" w:cstheme="minorBidi"/>
          <w:kern w:val="2"/>
        </w:rPr>
        <w:t>对于毕业生反馈机制，在毕业生就业过程中及时对毕业生的就业行业、就业区域、就业职业、薪资待遇等进行尽可能细致地梳理，同时对毕业生进行访谈调研，以访促教，以访促学，查看本专业在实践过程中所存在的不足及有待改进之处，在未来进一步完善；对于本专业在实践教学过程中取得成绩之处，进一步夯实基础。</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2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②</w:t>
      </w:r>
      <w:r>
        <w:rPr>
          <w:rFonts w:ascii="仿宋" w:hAnsi="仿宋" w:eastAsia="仿宋" w:cstheme="minorBidi"/>
          <w:b/>
          <w:bCs/>
          <w:kern w:val="2"/>
        </w:rPr>
        <w:fldChar w:fldCharType="end"/>
      </w:r>
      <w:r>
        <w:rPr>
          <w:rFonts w:hint="eastAsia" w:ascii="仿宋" w:hAnsi="仿宋" w:eastAsia="仿宋" w:cstheme="minorBidi"/>
          <w:b/>
          <w:bCs/>
          <w:kern w:val="2"/>
        </w:rPr>
        <w:t>建立已毕业学生追踪数据库。</w:t>
      </w:r>
      <w:r>
        <w:rPr>
          <w:rFonts w:hint="eastAsia" w:ascii="仿宋" w:hAnsi="仿宋" w:eastAsia="仿宋" w:cstheme="minorBidi"/>
          <w:kern w:val="2"/>
        </w:rPr>
        <w:t>同时，对于毕业生反馈机制，不仅仅要着眼于每一届毕业的学生的数据获取，进行简单的横截面的比较，还需要对于学生进行尽可能的追踪研究，查看学生的职业成长之路。学生成长不是一时之力，较长时间方能有更好地检验</w:t>
      </w:r>
      <w:bookmarkEnd w:id="116"/>
      <w:r>
        <w:rPr>
          <w:rFonts w:hint="eastAsia" w:ascii="仿宋" w:hAnsi="仿宋" w:eastAsia="仿宋" w:cstheme="minorBidi"/>
          <w:kern w:val="2"/>
        </w:rPr>
        <w:t>。</w:t>
      </w:r>
    </w:p>
    <w:p>
      <w:pPr>
        <w:widowControl w:val="0"/>
        <w:spacing w:line="360" w:lineRule="auto"/>
        <w:ind w:firstLine="482" w:firstLineChars="200"/>
        <w:rPr>
          <w:rFonts w:ascii="仿宋" w:hAnsi="仿宋" w:eastAsia="仿宋" w:cstheme="minorBidi"/>
          <w:kern w:val="2"/>
        </w:rPr>
      </w:pPr>
      <w:r>
        <w:rPr>
          <w:rFonts w:ascii="仿宋" w:hAnsi="仿宋" w:eastAsia="仿宋" w:cstheme="minorBidi"/>
          <w:b/>
          <w:bCs/>
          <w:kern w:val="2"/>
        </w:rPr>
        <w:fldChar w:fldCharType="begin"/>
      </w:r>
      <w:r>
        <w:rPr>
          <w:rFonts w:ascii="仿宋" w:hAnsi="仿宋" w:eastAsia="仿宋" w:cstheme="minorBidi"/>
          <w:b/>
          <w:bCs/>
          <w:kern w:val="2"/>
        </w:rPr>
        <w:instrText xml:space="preserve"> </w:instrText>
      </w:r>
      <w:r>
        <w:rPr>
          <w:rFonts w:hint="eastAsia" w:ascii="仿宋" w:hAnsi="仿宋" w:eastAsia="仿宋" w:cstheme="minorBidi"/>
          <w:b/>
          <w:bCs/>
          <w:kern w:val="2"/>
        </w:rPr>
        <w:instrText xml:space="preserve">= 3 \* GB3</w:instrText>
      </w:r>
      <w:r>
        <w:rPr>
          <w:rFonts w:ascii="仿宋" w:hAnsi="仿宋" w:eastAsia="仿宋" w:cstheme="minorBidi"/>
          <w:b/>
          <w:bCs/>
          <w:kern w:val="2"/>
        </w:rPr>
        <w:instrText xml:space="preserve"> </w:instrText>
      </w:r>
      <w:r>
        <w:rPr>
          <w:rFonts w:ascii="仿宋" w:hAnsi="仿宋" w:eastAsia="仿宋" w:cstheme="minorBidi"/>
          <w:b/>
          <w:bCs/>
          <w:kern w:val="2"/>
        </w:rPr>
        <w:fldChar w:fldCharType="separate"/>
      </w:r>
      <w:r>
        <w:rPr>
          <w:rFonts w:hint="eastAsia" w:ascii="仿宋" w:hAnsi="仿宋" w:eastAsia="仿宋" w:cstheme="minorBidi"/>
          <w:b/>
          <w:bCs/>
          <w:kern w:val="2"/>
        </w:rPr>
        <w:t>③</w:t>
      </w:r>
      <w:r>
        <w:rPr>
          <w:rFonts w:ascii="仿宋" w:hAnsi="仿宋" w:eastAsia="仿宋" w:cstheme="minorBidi"/>
          <w:b/>
          <w:bCs/>
          <w:kern w:val="2"/>
        </w:rPr>
        <w:fldChar w:fldCharType="end"/>
      </w:r>
      <w:r>
        <w:rPr>
          <w:rFonts w:hint="eastAsia" w:ascii="仿宋" w:hAnsi="仿宋" w:eastAsia="仿宋" w:cstheme="minorBidi"/>
          <w:b/>
          <w:bCs/>
          <w:kern w:val="2"/>
        </w:rPr>
        <w:t>创新毕业生联系机制，阶段性建立见面机制。</w:t>
      </w:r>
      <w:r>
        <w:rPr>
          <w:rFonts w:hint="eastAsia" w:ascii="仿宋" w:hAnsi="仿宋" w:eastAsia="仿宋" w:cstheme="minorBidi"/>
          <w:kern w:val="2"/>
        </w:rPr>
        <w:t>信息时代，沟通成本比较低，不过是有关专业建议和发展的沟通，需要对方畅所欲言，因此如果可以还是见面为宜。可考虑创新毕业生联系机制，在规律性的不见面沟通的基础上，一个阶段内需要有见面沟通的机制。</w:t>
      </w:r>
    </w:p>
    <w:sectPr>
      <w:footerReference r:id="rId4"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Noto Sans Mono CJK JP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2622238"/>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F331EA"/>
    <w:multiLevelType w:val="multilevel"/>
    <w:tmpl w:val="79F331E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5OWZmZWI2ZmVlOGU3MDE1MGI0NmQwNmUwMjVlMTMifQ=="/>
  </w:docVars>
  <w:rsids>
    <w:rsidRoot w:val="0054186C"/>
    <w:rsid w:val="000147A6"/>
    <w:rsid w:val="000232EC"/>
    <w:rsid w:val="000304C3"/>
    <w:rsid w:val="000376E8"/>
    <w:rsid w:val="000827A3"/>
    <w:rsid w:val="00083EF8"/>
    <w:rsid w:val="00092B09"/>
    <w:rsid w:val="00097E90"/>
    <w:rsid w:val="000A2EAB"/>
    <w:rsid w:val="000A4A8E"/>
    <w:rsid w:val="000A6EA2"/>
    <w:rsid w:val="000B2965"/>
    <w:rsid w:val="000C5096"/>
    <w:rsid w:val="000D257F"/>
    <w:rsid w:val="000E14E9"/>
    <w:rsid w:val="000E6FA3"/>
    <w:rsid w:val="000F6F73"/>
    <w:rsid w:val="00124A2D"/>
    <w:rsid w:val="00141505"/>
    <w:rsid w:val="001535F0"/>
    <w:rsid w:val="00156644"/>
    <w:rsid w:val="00164D1A"/>
    <w:rsid w:val="00164DCB"/>
    <w:rsid w:val="00165054"/>
    <w:rsid w:val="00176907"/>
    <w:rsid w:val="001805C7"/>
    <w:rsid w:val="00191D7C"/>
    <w:rsid w:val="001944A0"/>
    <w:rsid w:val="001D2E93"/>
    <w:rsid w:val="001D66EF"/>
    <w:rsid w:val="001D717F"/>
    <w:rsid w:val="001E3757"/>
    <w:rsid w:val="001F1060"/>
    <w:rsid w:val="002005D2"/>
    <w:rsid w:val="002123E7"/>
    <w:rsid w:val="00225EF1"/>
    <w:rsid w:val="00242E0B"/>
    <w:rsid w:val="00247F26"/>
    <w:rsid w:val="00263B5B"/>
    <w:rsid w:val="002814D0"/>
    <w:rsid w:val="002A4CDF"/>
    <w:rsid w:val="002B263F"/>
    <w:rsid w:val="002D601E"/>
    <w:rsid w:val="002F4257"/>
    <w:rsid w:val="00304EA2"/>
    <w:rsid w:val="00331353"/>
    <w:rsid w:val="00337A06"/>
    <w:rsid w:val="0035256B"/>
    <w:rsid w:val="00353639"/>
    <w:rsid w:val="00356E3E"/>
    <w:rsid w:val="00360200"/>
    <w:rsid w:val="00362733"/>
    <w:rsid w:val="00366BBD"/>
    <w:rsid w:val="00383029"/>
    <w:rsid w:val="00383CB3"/>
    <w:rsid w:val="003868A6"/>
    <w:rsid w:val="003A5DC9"/>
    <w:rsid w:val="003B5743"/>
    <w:rsid w:val="003B5821"/>
    <w:rsid w:val="003C7E5F"/>
    <w:rsid w:val="003D4237"/>
    <w:rsid w:val="003E3C59"/>
    <w:rsid w:val="003E684A"/>
    <w:rsid w:val="003F7065"/>
    <w:rsid w:val="00400D8F"/>
    <w:rsid w:val="0043005D"/>
    <w:rsid w:val="00451572"/>
    <w:rsid w:val="00457908"/>
    <w:rsid w:val="0046146F"/>
    <w:rsid w:val="00462776"/>
    <w:rsid w:val="00485557"/>
    <w:rsid w:val="0049281E"/>
    <w:rsid w:val="00492A03"/>
    <w:rsid w:val="00492D16"/>
    <w:rsid w:val="004A29AB"/>
    <w:rsid w:val="004B351A"/>
    <w:rsid w:val="004C4E32"/>
    <w:rsid w:val="004C5078"/>
    <w:rsid w:val="004D3393"/>
    <w:rsid w:val="004D6B55"/>
    <w:rsid w:val="004E18DE"/>
    <w:rsid w:val="0054186C"/>
    <w:rsid w:val="00542562"/>
    <w:rsid w:val="005B1BFD"/>
    <w:rsid w:val="005B491A"/>
    <w:rsid w:val="005C4D52"/>
    <w:rsid w:val="005F502B"/>
    <w:rsid w:val="00605D42"/>
    <w:rsid w:val="00644138"/>
    <w:rsid w:val="00652619"/>
    <w:rsid w:val="00662EA1"/>
    <w:rsid w:val="00663B33"/>
    <w:rsid w:val="00664A00"/>
    <w:rsid w:val="0067425A"/>
    <w:rsid w:val="006766E6"/>
    <w:rsid w:val="006C7122"/>
    <w:rsid w:val="006F1096"/>
    <w:rsid w:val="0071499E"/>
    <w:rsid w:val="007165BA"/>
    <w:rsid w:val="00727DD0"/>
    <w:rsid w:val="00730522"/>
    <w:rsid w:val="00730C50"/>
    <w:rsid w:val="007549AC"/>
    <w:rsid w:val="0075762C"/>
    <w:rsid w:val="00780FD1"/>
    <w:rsid w:val="0078195A"/>
    <w:rsid w:val="007849F0"/>
    <w:rsid w:val="0079395C"/>
    <w:rsid w:val="007A5545"/>
    <w:rsid w:val="007C5E14"/>
    <w:rsid w:val="007E3FE5"/>
    <w:rsid w:val="007E49C2"/>
    <w:rsid w:val="007F2627"/>
    <w:rsid w:val="00816350"/>
    <w:rsid w:val="00821EBD"/>
    <w:rsid w:val="00836A73"/>
    <w:rsid w:val="00840DC7"/>
    <w:rsid w:val="008471D9"/>
    <w:rsid w:val="00877FB8"/>
    <w:rsid w:val="00884201"/>
    <w:rsid w:val="00884A2C"/>
    <w:rsid w:val="0089202F"/>
    <w:rsid w:val="008E01F5"/>
    <w:rsid w:val="008F1E13"/>
    <w:rsid w:val="00902E1E"/>
    <w:rsid w:val="009072BA"/>
    <w:rsid w:val="00916339"/>
    <w:rsid w:val="00925B49"/>
    <w:rsid w:val="00932874"/>
    <w:rsid w:val="0093522D"/>
    <w:rsid w:val="00945C24"/>
    <w:rsid w:val="00954A25"/>
    <w:rsid w:val="009805AF"/>
    <w:rsid w:val="00980939"/>
    <w:rsid w:val="00990C06"/>
    <w:rsid w:val="00994D35"/>
    <w:rsid w:val="009A724B"/>
    <w:rsid w:val="009B1C45"/>
    <w:rsid w:val="009C7CB3"/>
    <w:rsid w:val="009D2E1C"/>
    <w:rsid w:val="009F06FE"/>
    <w:rsid w:val="00A16D62"/>
    <w:rsid w:val="00A30E1C"/>
    <w:rsid w:val="00A47CAE"/>
    <w:rsid w:val="00A67438"/>
    <w:rsid w:val="00A91FEA"/>
    <w:rsid w:val="00A9217F"/>
    <w:rsid w:val="00A941F0"/>
    <w:rsid w:val="00AA7CB5"/>
    <w:rsid w:val="00AC5372"/>
    <w:rsid w:val="00AD4B50"/>
    <w:rsid w:val="00AD593B"/>
    <w:rsid w:val="00AE6EA6"/>
    <w:rsid w:val="00B04F63"/>
    <w:rsid w:val="00B248C0"/>
    <w:rsid w:val="00B2543B"/>
    <w:rsid w:val="00B572EB"/>
    <w:rsid w:val="00B7496E"/>
    <w:rsid w:val="00B84743"/>
    <w:rsid w:val="00BF21C6"/>
    <w:rsid w:val="00C0158E"/>
    <w:rsid w:val="00C02EC3"/>
    <w:rsid w:val="00C13054"/>
    <w:rsid w:val="00C20FA2"/>
    <w:rsid w:val="00C4403F"/>
    <w:rsid w:val="00C544B0"/>
    <w:rsid w:val="00C56CD4"/>
    <w:rsid w:val="00C6241E"/>
    <w:rsid w:val="00C867E7"/>
    <w:rsid w:val="00C93EFB"/>
    <w:rsid w:val="00CF2B10"/>
    <w:rsid w:val="00CF36EB"/>
    <w:rsid w:val="00D119DB"/>
    <w:rsid w:val="00D13A6E"/>
    <w:rsid w:val="00D1714E"/>
    <w:rsid w:val="00D21E1C"/>
    <w:rsid w:val="00D23CBA"/>
    <w:rsid w:val="00D47C1A"/>
    <w:rsid w:val="00D5367E"/>
    <w:rsid w:val="00D61529"/>
    <w:rsid w:val="00D90572"/>
    <w:rsid w:val="00D90C99"/>
    <w:rsid w:val="00D93A2F"/>
    <w:rsid w:val="00D96714"/>
    <w:rsid w:val="00DA7182"/>
    <w:rsid w:val="00DB0D27"/>
    <w:rsid w:val="00DB1986"/>
    <w:rsid w:val="00DB3BB4"/>
    <w:rsid w:val="00DC5665"/>
    <w:rsid w:val="00DD13AB"/>
    <w:rsid w:val="00E12321"/>
    <w:rsid w:val="00E138B4"/>
    <w:rsid w:val="00E30105"/>
    <w:rsid w:val="00E61680"/>
    <w:rsid w:val="00E660E7"/>
    <w:rsid w:val="00EE2B30"/>
    <w:rsid w:val="00EE64EC"/>
    <w:rsid w:val="00EE7547"/>
    <w:rsid w:val="00EF305C"/>
    <w:rsid w:val="00F01231"/>
    <w:rsid w:val="00F053B9"/>
    <w:rsid w:val="00F34C8E"/>
    <w:rsid w:val="00F4708E"/>
    <w:rsid w:val="00F509DA"/>
    <w:rsid w:val="00F57C6E"/>
    <w:rsid w:val="00F65ED9"/>
    <w:rsid w:val="00F737CE"/>
    <w:rsid w:val="00FA30CC"/>
    <w:rsid w:val="00FA6323"/>
    <w:rsid w:val="00FA6B1E"/>
    <w:rsid w:val="00FD25C8"/>
    <w:rsid w:val="00FE323B"/>
    <w:rsid w:val="01CC1A40"/>
    <w:rsid w:val="02201D8C"/>
    <w:rsid w:val="03A32C74"/>
    <w:rsid w:val="077C5CB6"/>
    <w:rsid w:val="0F582B65"/>
    <w:rsid w:val="12371157"/>
    <w:rsid w:val="24C73138"/>
    <w:rsid w:val="26DC3C24"/>
    <w:rsid w:val="27DF1C1D"/>
    <w:rsid w:val="29AB6B74"/>
    <w:rsid w:val="2FE36023"/>
    <w:rsid w:val="33F65BFC"/>
    <w:rsid w:val="42ED2FE9"/>
    <w:rsid w:val="4AF75521"/>
    <w:rsid w:val="4FA3633E"/>
    <w:rsid w:val="53037A15"/>
    <w:rsid w:val="5B5B3832"/>
    <w:rsid w:val="5F702B80"/>
    <w:rsid w:val="64794284"/>
    <w:rsid w:val="64CC6AAA"/>
    <w:rsid w:val="72D82ABE"/>
    <w:rsid w:val="75022465"/>
    <w:rsid w:val="7552152F"/>
    <w:rsid w:val="7E4E6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5"/>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29"/>
    <w:qFormat/>
    <w:uiPriority w:val="9"/>
    <w:pPr>
      <w:keepNext/>
      <w:keepLines/>
      <w:widowControl w:val="0"/>
      <w:spacing w:before="260" w:after="260" w:line="416" w:lineRule="auto"/>
      <w:jc w:val="both"/>
      <w:outlineLvl w:val="1"/>
    </w:pPr>
    <w:rPr>
      <w:rFonts w:ascii="Cambria" w:hAnsi="Cambria" w:cs="Times New Roman"/>
      <w:b/>
      <w:bCs/>
      <w:kern w:val="2"/>
      <w:sz w:val="32"/>
      <w:szCs w:val="32"/>
    </w:rPr>
  </w:style>
  <w:style w:type="paragraph" w:styleId="4">
    <w:name w:val="heading 3"/>
    <w:basedOn w:val="1"/>
    <w:next w:val="1"/>
    <w:link w:val="30"/>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2"/>
    <w:semiHidden/>
    <w:unhideWhenUsed/>
    <w:qFormat/>
    <w:uiPriority w:val="99"/>
  </w:style>
  <w:style w:type="paragraph" w:styleId="8">
    <w:name w:val="Body Text"/>
    <w:basedOn w:val="1"/>
    <w:link w:val="23"/>
    <w:semiHidden/>
    <w:unhideWhenUsed/>
    <w:qFormat/>
    <w:uiPriority w:val="99"/>
    <w:pPr>
      <w:spacing w:before="100" w:beforeAutospacing="1" w:after="100" w:afterAutospacing="1"/>
    </w:pPr>
  </w:style>
  <w:style w:type="paragraph" w:styleId="9">
    <w:name w:val="toc 3"/>
    <w:basedOn w:val="1"/>
    <w:next w:val="1"/>
    <w:unhideWhenUsed/>
    <w:qFormat/>
    <w:uiPriority w:val="39"/>
    <w:pPr>
      <w:tabs>
        <w:tab w:val="right" w:leader="dot" w:pos="8296"/>
      </w:tabs>
      <w:spacing w:line="360" w:lineRule="auto"/>
      <w:ind w:left="960" w:leftChars="400"/>
    </w:pPr>
  </w:style>
  <w:style w:type="paragraph" w:styleId="10">
    <w:name w:val="Date"/>
    <w:basedOn w:val="1"/>
    <w:next w:val="1"/>
    <w:link w:val="26"/>
    <w:semiHidden/>
    <w:unhideWhenUsed/>
    <w:qFormat/>
    <w:uiPriority w:val="99"/>
    <w:pPr>
      <w:ind w:left="100" w:leftChars="2500"/>
    </w:pPr>
  </w:style>
  <w:style w:type="paragraph" w:styleId="11">
    <w:name w:val="endnote text"/>
    <w:basedOn w:val="1"/>
    <w:link w:val="34"/>
    <w:semiHidden/>
    <w:unhideWhenUsed/>
    <w:uiPriority w:val="99"/>
    <w:pPr>
      <w:snapToGrid w:val="0"/>
    </w:pPr>
  </w:style>
  <w:style w:type="paragraph" w:styleId="12">
    <w:name w:val="Balloon Text"/>
    <w:basedOn w:val="1"/>
    <w:link w:val="37"/>
    <w:semiHidden/>
    <w:unhideWhenUsed/>
    <w:uiPriority w:val="99"/>
    <w:rPr>
      <w:sz w:val="18"/>
      <w:szCs w:val="18"/>
    </w:rPr>
  </w:style>
  <w:style w:type="paragraph" w:styleId="13">
    <w:name w:val="footer"/>
    <w:basedOn w:val="1"/>
    <w:link w:val="36"/>
    <w:unhideWhenUsed/>
    <w:uiPriority w:val="99"/>
    <w:pPr>
      <w:tabs>
        <w:tab w:val="center" w:pos="4153"/>
        <w:tab w:val="right" w:pos="8306"/>
      </w:tabs>
      <w:snapToGrid w:val="0"/>
    </w:pPr>
    <w:rPr>
      <w:sz w:val="18"/>
      <w:szCs w:val="18"/>
    </w:rPr>
  </w:style>
  <w:style w:type="paragraph" w:styleId="14">
    <w:name w:val="header"/>
    <w:basedOn w:val="1"/>
    <w:link w:val="35"/>
    <w:unhideWhenUsed/>
    <w:uiPriority w:val="99"/>
    <w:pP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semiHidden/>
    <w:unhideWhenUsed/>
    <w:uiPriority w:val="99"/>
    <w:rPr>
      <w:vertAlign w:val="superscript"/>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正文文本 字符"/>
    <w:basedOn w:val="19"/>
    <w:link w:val="8"/>
    <w:semiHidden/>
    <w:qFormat/>
    <w:uiPriority w:val="99"/>
    <w:rPr>
      <w:rFonts w:ascii="宋体" w:hAnsi="宋体" w:eastAsia="宋体" w:cs="宋体"/>
      <w:kern w:val="0"/>
      <w:sz w:val="24"/>
      <w:szCs w:val="24"/>
    </w:rPr>
  </w:style>
  <w:style w:type="paragraph" w:customStyle="1" w:styleId="24">
    <w:name w:val="11"/>
    <w:basedOn w:val="1"/>
    <w:semiHidden/>
    <w:qFormat/>
    <w:uiPriority w:val="99"/>
    <w:pPr>
      <w:spacing w:before="100" w:beforeAutospacing="1" w:after="100" w:afterAutospacing="1"/>
    </w:pPr>
  </w:style>
  <w:style w:type="character" w:customStyle="1" w:styleId="25">
    <w:name w:val="标题 1 字符"/>
    <w:basedOn w:val="19"/>
    <w:link w:val="2"/>
    <w:qFormat/>
    <w:uiPriority w:val="9"/>
    <w:rPr>
      <w:b/>
      <w:bCs/>
      <w:kern w:val="44"/>
      <w:sz w:val="44"/>
      <w:szCs w:val="44"/>
    </w:rPr>
  </w:style>
  <w:style w:type="character" w:customStyle="1" w:styleId="26">
    <w:name w:val="日期 字符"/>
    <w:basedOn w:val="19"/>
    <w:link w:val="10"/>
    <w:semiHidden/>
    <w:qFormat/>
    <w:uiPriority w:val="99"/>
    <w:rPr>
      <w:rFonts w:ascii="宋体" w:hAnsi="宋体" w:eastAsia="宋体" w:cs="宋体"/>
      <w:kern w:val="0"/>
      <w:sz w:val="24"/>
      <w:szCs w:val="24"/>
    </w:rPr>
  </w:style>
  <w:style w:type="paragraph" w:customStyle="1" w:styleId="27">
    <w:name w:val="21"/>
    <w:basedOn w:val="1"/>
    <w:semiHidden/>
    <w:qFormat/>
    <w:uiPriority w:val="99"/>
    <w:pPr>
      <w:spacing w:before="100" w:beforeAutospacing="1" w:after="100" w:afterAutospacing="1"/>
    </w:pPr>
  </w:style>
  <w:style w:type="paragraph" w:customStyle="1" w:styleId="28">
    <w:name w:val="tableparagraph"/>
    <w:basedOn w:val="1"/>
    <w:semiHidden/>
    <w:qFormat/>
    <w:uiPriority w:val="99"/>
    <w:pPr>
      <w:spacing w:before="100" w:beforeAutospacing="1" w:after="100" w:afterAutospacing="1"/>
    </w:pPr>
  </w:style>
  <w:style w:type="character" w:customStyle="1" w:styleId="29">
    <w:name w:val="标题 2 字符"/>
    <w:basedOn w:val="19"/>
    <w:link w:val="3"/>
    <w:qFormat/>
    <w:uiPriority w:val="9"/>
    <w:rPr>
      <w:rFonts w:ascii="Cambria" w:hAnsi="Cambria" w:eastAsia="宋体" w:cs="Times New Roman"/>
      <w:b/>
      <w:bCs/>
      <w:sz w:val="32"/>
      <w:szCs w:val="32"/>
    </w:rPr>
  </w:style>
  <w:style w:type="character" w:customStyle="1" w:styleId="30">
    <w:name w:val="标题 3 字符"/>
    <w:basedOn w:val="19"/>
    <w:link w:val="4"/>
    <w:qFormat/>
    <w:uiPriority w:val="9"/>
    <w:rPr>
      <w:b/>
      <w:bCs/>
      <w:sz w:val="32"/>
      <w:szCs w:val="32"/>
    </w:rPr>
  </w:style>
  <w:style w:type="character" w:customStyle="1" w:styleId="31">
    <w:name w:val="标题 4 字符"/>
    <w:basedOn w:val="19"/>
    <w:link w:val="5"/>
    <w:qFormat/>
    <w:uiPriority w:val="9"/>
    <w:rPr>
      <w:rFonts w:asciiTheme="majorHAnsi" w:hAnsiTheme="majorHAnsi" w:eastAsiaTheme="majorEastAsia" w:cstheme="majorBidi"/>
      <w:b/>
      <w:bCs/>
      <w:kern w:val="0"/>
      <w:sz w:val="28"/>
      <w:szCs w:val="28"/>
    </w:rPr>
  </w:style>
  <w:style w:type="character" w:customStyle="1" w:styleId="32">
    <w:name w:val="批注文字 字符"/>
    <w:basedOn w:val="19"/>
    <w:link w:val="7"/>
    <w:semiHidden/>
    <w:qFormat/>
    <w:uiPriority w:val="99"/>
    <w:rPr>
      <w:rFonts w:ascii="宋体" w:hAnsi="宋体" w:eastAsia="宋体" w:cs="宋体"/>
      <w:kern w:val="0"/>
      <w:sz w:val="24"/>
      <w:szCs w:val="24"/>
    </w:rPr>
  </w:style>
  <w:style w:type="character" w:customStyle="1" w:styleId="33">
    <w:name w:val="标题 5 字符"/>
    <w:basedOn w:val="19"/>
    <w:link w:val="6"/>
    <w:qFormat/>
    <w:uiPriority w:val="9"/>
    <w:rPr>
      <w:rFonts w:ascii="宋体" w:hAnsi="宋体" w:eastAsia="宋体" w:cs="宋体"/>
      <w:b/>
      <w:bCs/>
      <w:kern w:val="0"/>
      <w:sz w:val="28"/>
      <w:szCs w:val="28"/>
    </w:rPr>
  </w:style>
  <w:style w:type="character" w:customStyle="1" w:styleId="34">
    <w:name w:val="尾注文本 字符"/>
    <w:basedOn w:val="19"/>
    <w:link w:val="11"/>
    <w:semiHidden/>
    <w:uiPriority w:val="99"/>
    <w:rPr>
      <w:rFonts w:ascii="宋体" w:hAnsi="宋体" w:eastAsia="宋体" w:cs="宋体"/>
      <w:sz w:val="24"/>
      <w:szCs w:val="24"/>
    </w:rPr>
  </w:style>
  <w:style w:type="character" w:customStyle="1" w:styleId="35">
    <w:name w:val="页眉 字符"/>
    <w:basedOn w:val="19"/>
    <w:link w:val="14"/>
    <w:uiPriority w:val="99"/>
    <w:rPr>
      <w:rFonts w:ascii="宋体" w:hAnsi="宋体" w:eastAsia="宋体" w:cs="宋体"/>
      <w:sz w:val="18"/>
      <w:szCs w:val="18"/>
    </w:rPr>
  </w:style>
  <w:style w:type="character" w:customStyle="1" w:styleId="36">
    <w:name w:val="页脚 字符"/>
    <w:basedOn w:val="19"/>
    <w:link w:val="13"/>
    <w:uiPriority w:val="99"/>
    <w:rPr>
      <w:rFonts w:ascii="宋体" w:hAnsi="宋体" w:eastAsia="宋体" w:cs="宋体"/>
      <w:sz w:val="18"/>
      <w:szCs w:val="18"/>
    </w:rPr>
  </w:style>
  <w:style w:type="character" w:customStyle="1" w:styleId="37">
    <w:name w:val="批注框文本 字符"/>
    <w:basedOn w:val="19"/>
    <w:link w:val="12"/>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73A6D-3D1C-4EAE-BCBD-25A5DB882C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4565</Words>
  <Characters>26021</Characters>
  <Lines>216</Lines>
  <Paragraphs>61</Paragraphs>
  <TotalTime>993</TotalTime>
  <ScaleCrop>false</ScaleCrop>
  <LinksUpToDate>false</LinksUpToDate>
  <CharactersWithSpaces>30525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2024-02-20T12:17:00Z</dcterms:created>
  <dc:creator>Lifan Zheng</dc:creator>
  <cp:lastModifiedBy>唐小霸</cp:lastModifiedBy>
  <dcterms:modified xsi:type="dcterms:W3CDTF">2024-03-14T05:18:57Z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E2E6F12CFD84460BB41EC40FA9D4F8E3_13</vt:lpwstr>
  </property>
</Properties>
</file>