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Times New Roman" w:hAnsi="Times New Roman" w:eastAsia="华文中宋" w:cs="Times New Roman"/>
          <w:color w:val="000000"/>
          <w:sz w:val="72"/>
          <w:szCs w:val="72"/>
        </w:rPr>
      </w:pPr>
    </w:p>
    <w:p>
      <w:pPr>
        <w:spacing w:line="747" w:lineRule="exact"/>
        <w:ind w:left="601" w:right="231"/>
        <w:jc w:val="center"/>
        <w:rPr>
          <w:rFonts w:ascii="Times New Roman" w:hAnsi="Times New Roman" w:eastAsia="黑体" w:cs="Times New Roman"/>
          <w:sz w:val="40"/>
          <w:szCs w:val="22"/>
        </w:rPr>
      </w:pPr>
      <w:bookmarkStart w:id="0" w:name="_Hlk154736294"/>
      <w:bookmarkEnd w:id="0"/>
      <w:r>
        <w:rPr>
          <w:rFonts w:ascii="Times New Roman" w:hAnsi="Times New Roman" w:eastAsia="华文中宋" w:cs="Times New Roman"/>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Times New Roman" w:hAnsi="Times New Roman" w:eastAsia="微软雅黑" w:cs="Times New Roman"/>
          <w:sz w:val="36"/>
          <w:szCs w:val="22"/>
        </w:rPr>
      </w:pPr>
    </w:p>
    <w:p>
      <w:pPr>
        <w:ind w:left="595" w:right="231"/>
        <w:jc w:val="center"/>
        <w:rPr>
          <w:rFonts w:ascii="Times New Roman" w:hAnsi="Times New Roman" w:cs="Times New Roman"/>
        </w:rPr>
      </w:pPr>
      <w:r>
        <w:rPr>
          <w:rFonts w:hint="eastAsia" w:ascii="Times New Roman" w:hAnsi="Times New Roman" w:eastAsia="微软雅黑" w:cs="Times New Roman"/>
          <w:sz w:val="36"/>
          <w:szCs w:val="22"/>
        </w:rPr>
        <w:t>人力资源管理</w:t>
      </w:r>
      <w:r>
        <w:rPr>
          <w:rFonts w:ascii="Times New Roman" w:hAnsi="Times New Roman" w:eastAsia="微软雅黑" w:cs="Times New Roman"/>
          <w:sz w:val="36"/>
          <w:szCs w:val="22"/>
        </w:rPr>
        <w:t>专业</w:t>
      </w:r>
    </w:p>
    <w:p>
      <w:pPr>
        <w:spacing w:line="747" w:lineRule="exact"/>
        <w:ind w:left="601" w:right="231"/>
        <w:jc w:val="center"/>
        <w:rPr>
          <w:rFonts w:ascii="Times New Roman" w:hAnsi="Times New Roman" w:eastAsia="黑体" w:cs="Times New Roman"/>
          <w:sz w:val="40"/>
          <w:szCs w:val="22"/>
        </w:rPr>
      </w:pPr>
      <w:r>
        <w:rPr>
          <w:rFonts w:ascii="Times New Roman" w:hAnsi="Times New Roman" w:eastAsia="黑体" w:cs="Times New Roman"/>
          <w:sz w:val="40"/>
          <w:szCs w:val="22"/>
        </w:rPr>
        <w:t>2022-2023学年本科教学质量报告</w:t>
      </w:r>
    </w:p>
    <w:p>
      <w:pPr>
        <w:spacing w:line="747" w:lineRule="exact"/>
        <w:ind w:left="601" w:right="231"/>
        <w:jc w:val="center"/>
        <w:rPr>
          <w:rFonts w:ascii="Times New Roman" w:hAnsi="Times New Roman" w:eastAsia="黑体" w:cs="Times New Roman"/>
          <w:sz w:val="20"/>
          <w:szCs w:val="20"/>
        </w:rPr>
      </w:pPr>
    </w:p>
    <w:p>
      <w:pPr>
        <w:ind w:left="601" w:right="232"/>
        <w:jc w:val="center"/>
        <w:rPr>
          <w:rFonts w:ascii="Times New Roman" w:hAnsi="Times New Roman" w:cs="Times New Roman"/>
        </w:rPr>
      </w:pPr>
      <w:r>
        <w:rPr>
          <w:rFonts w:ascii="Times New Roman" w:hAnsi="Times New Roman" w:eastAsia="微软雅黑" w:cs="Times New Roman"/>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8"/>
        <w:spacing w:before="98" w:beforeAutospacing="0" w:after="0" w:afterAutospacing="0"/>
        <w:ind w:left="597" w:right="231"/>
        <w:jc w:val="center"/>
        <w:rPr>
          <w:rFonts w:ascii="Times New Roman" w:hAnsi="Times New Roman" w:cs="Times New Roman"/>
        </w:rPr>
      </w:pPr>
    </w:p>
    <w:tbl>
      <w:tblPr>
        <w:tblStyle w:val="19"/>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1800" w:firstLineChars="600"/>
              <w:rPr>
                <w:rFonts w:ascii="Times New Roman" w:hAnsi="Times New Roman" w:eastAsia="微软雅黑" w:cs="Times New Roman"/>
                <w:color w:val="333333"/>
                <w:sz w:val="15"/>
                <w:szCs w:val="15"/>
              </w:rPr>
            </w:pPr>
            <w:r>
              <w:rPr>
                <w:rFonts w:ascii="Times New Roman" w:hAnsi="Times New Roman" w:eastAsia="楷体" w:cs="Times New Roman"/>
                <w:color w:val="000000"/>
                <w:sz w:val="30"/>
                <w:szCs w:val="30"/>
              </w:rPr>
              <w:t>专业代码：</w:t>
            </w:r>
            <w:r>
              <w:rPr>
                <w:rFonts w:ascii="Times New Roman" w:hAnsi="Times New Roman" w:cs="Times New Roman"/>
                <w:i/>
                <w:iCs/>
                <w:color w:val="000000"/>
                <w:sz w:val="30"/>
                <w:szCs w:val="30"/>
                <w:u w:val="single"/>
              </w:rPr>
              <w:t xml:space="preserve"> </w:t>
            </w:r>
            <w:r>
              <w:rPr>
                <w:rFonts w:ascii="Times New Roman" w:hAnsi="Times New Roman" w:cs="Times New Roman"/>
                <w:color w:val="000000"/>
                <w:sz w:val="30"/>
                <w:szCs w:val="30"/>
                <w:u w:val="single"/>
              </w:rPr>
              <w:t xml:space="preserve">120206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Times New Roman" w:hAnsi="Times New Roman" w:eastAsia="微软雅黑" w:cs="Times New Roman"/>
                <w:color w:val="333333"/>
                <w:sz w:val="15"/>
                <w:szCs w:val="15"/>
              </w:rPr>
            </w:pPr>
            <w:r>
              <w:rPr>
                <w:rFonts w:ascii="Times New Roman" w:hAnsi="Times New Roman" w:eastAsia="楷体" w:cs="Times New Roman"/>
                <w:color w:val="000000"/>
                <w:sz w:val="30"/>
                <w:szCs w:val="30"/>
              </w:rPr>
              <w:t>专业负责人：</w:t>
            </w:r>
            <w:r>
              <w:rPr>
                <w:rFonts w:ascii="Times New Roman" w:hAnsi="Times New Roman" w:eastAsia="微软雅黑" w:cs="Times New Roman"/>
                <w:color w:val="000000"/>
                <w:sz w:val="30"/>
                <w:szCs w:val="30"/>
                <w:u w:val="single"/>
              </w:rPr>
              <w:t>   </w:t>
            </w:r>
            <w:r>
              <w:rPr>
                <w:rFonts w:hint="eastAsia" w:ascii="Times New Roman" w:hAnsi="Times New Roman" w:eastAsia="微软雅黑" w:cs="Times New Roman"/>
                <w:color w:val="000000"/>
                <w:sz w:val="30"/>
                <w:szCs w:val="30"/>
                <w:u w:val="single"/>
                <w:lang w:val="en-US" w:eastAsia="zh-CN"/>
              </w:rPr>
              <w:t xml:space="preserve">李含伟 </w:t>
            </w:r>
            <w:r>
              <w:rPr>
                <w:rFonts w:ascii="Times New Roman" w:hAnsi="Times New Roman" w:eastAsia="微软雅黑" w:cs="Times New Roman"/>
                <w:color w:val="000000"/>
                <w:sz w:val="30"/>
                <w:szCs w:val="30"/>
                <w:u w:val="single"/>
              </w:rPr>
              <w:t xml:space="preserve">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Times New Roman" w:hAnsi="Times New Roman" w:eastAsia="微软雅黑" w:cs="Times New Roman"/>
                <w:color w:val="333333"/>
                <w:sz w:val="15"/>
                <w:szCs w:val="15"/>
              </w:rPr>
            </w:pPr>
            <w:r>
              <w:rPr>
                <w:rFonts w:ascii="Times New Roman" w:hAnsi="Times New Roman" w:eastAsia="楷体" w:cs="Times New Roman"/>
                <w:color w:val="000000"/>
                <w:sz w:val="30"/>
                <w:szCs w:val="30"/>
              </w:rPr>
              <w:t>教学院长：</w:t>
            </w:r>
            <w:r>
              <w:rPr>
                <w:rFonts w:ascii="Times New Roman" w:hAnsi="Times New Roman" w:eastAsia="微软雅黑" w:cs="Times New Roman"/>
                <w:color w:val="000000"/>
                <w:sz w:val="30"/>
                <w:szCs w:val="30"/>
                <w:u w:val="single"/>
              </w:rPr>
              <w:t>    </w:t>
            </w:r>
            <w:r>
              <w:rPr>
                <w:rFonts w:hint="eastAsia" w:ascii="Times New Roman" w:hAnsi="Times New Roman" w:eastAsia="微软雅黑" w:cs="Times New Roman"/>
                <w:color w:val="000000"/>
                <w:sz w:val="30"/>
                <w:szCs w:val="30"/>
                <w:u w:val="single"/>
                <w:lang w:val="en-US" w:eastAsia="zh-CN"/>
              </w:rPr>
              <w:t xml:space="preserve"> 罗  娟</w:t>
            </w:r>
            <w:r>
              <w:rPr>
                <w:rFonts w:ascii="Times New Roman" w:hAnsi="Times New Roman" w:eastAsia="微软雅黑" w:cs="Times New Roman"/>
                <w:color w:val="000000"/>
                <w:sz w:val="30"/>
                <w:szCs w:val="30"/>
                <w:u w:val="single"/>
              </w:rPr>
              <w:t xml:space="preserve">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Times New Roman" w:hAnsi="Times New Roman" w:eastAsia="微软雅黑" w:cs="Times New Roman"/>
                <w:color w:val="333333"/>
                <w:sz w:val="15"/>
                <w:szCs w:val="15"/>
              </w:rPr>
            </w:pPr>
            <w:r>
              <w:rPr>
                <w:rFonts w:ascii="Times New Roman" w:hAnsi="Times New Roman" w:eastAsia="楷体" w:cs="Times New Roman"/>
                <w:color w:val="000000"/>
                <w:sz w:val="30"/>
                <w:szCs w:val="30"/>
              </w:rPr>
              <w:t>学院院长：</w:t>
            </w:r>
            <w:r>
              <w:rPr>
                <w:rFonts w:ascii="Times New Roman" w:hAnsi="Times New Roman" w:eastAsia="微软雅黑" w:cs="Times New Roman"/>
                <w:color w:val="000000"/>
                <w:sz w:val="30"/>
                <w:szCs w:val="30"/>
                <w:u w:val="single"/>
              </w:rPr>
              <w:t>     </w:t>
            </w:r>
            <w:r>
              <w:rPr>
                <w:rFonts w:hint="eastAsia" w:ascii="Times New Roman" w:hAnsi="Times New Roman" w:eastAsia="微软雅黑" w:cs="Times New Roman"/>
                <w:color w:val="000000"/>
                <w:sz w:val="30"/>
                <w:szCs w:val="30"/>
                <w:u w:val="single"/>
                <w:lang w:val="en-US" w:eastAsia="zh-CN"/>
              </w:rPr>
              <w:t>胡   斌</w:t>
            </w:r>
            <w:r>
              <w:rPr>
                <w:rFonts w:ascii="Times New Roman" w:hAnsi="Times New Roman" w:eastAsia="微软雅黑" w:cs="Times New Roman"/>
                <w:color w:val="000000"/>
                <w:sz w:val="30"/>
                <w:szCs w:val="30"/>
                <w:u w:val="single"/>
              </w:rPr>
              <w:t xml:space="preserve">   （签字）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Times New Roman" w:hAnsi="Times New Roman" w:eastAsia="微软雅黑" w:cs="Times New Roman"/>
                <w:color w:val="333333"/>
                <w:sz w:val="15"/>
                <w:szCs w:val="15"/>
              </w:rPr>
            </w:pPr>
            <w:r>
              <w:rPr>
                <w:rFonts w:ascii="Times New Roman" w:hAnsi="Times New Roman" w:eastAsia="楷体" w:cs="Times New Roman"/>
                <w:color w:val="000000"/>
                <w:sz w:val="30"/>
                <w:szCs w:val="30"/>
              </w:rPr>
              <w:t>学院名称：</w:t>
            </w:r>
            <w:r>
              <w:rPr>
                <w:rFonts w:ascii="Times New Roman" w:hAnsi="Times New Roman" w:eastAsia="微软雅黑" w:cs="Times New Roman"/>
                <w:color w:val="000000"/>
                <w:sz w:val="30"/>
                <w:szCs w:val="30"/>
                <w:u w:val="single"/>
              </w:rPr>
              <w:t>     </w:t>
            </w:r>
            <w:r>
              <w:rPr>
                <w:rFonts w:hint="eastAsia" w:ascii="Times New Roman" w:hAnsi="Times New Roman" w:eastAsia="微软雅黑" w:cs="Times New Roman"/>
                <w:color w:val="000000"/>
                <w:sz w:val="30"/>
                <w:szCs w:val="30"/>
                <w:u w:val="single"/>
                <w:lang w:val="en-US" w:eastAsia="zh-CN"/>
              </w:rPr>
              <w:t xml:space="preserve">管理学院 </w:t>
            </w:r>
            <w:r>
              <w:rPr>
                <w:rFonts w:ascii="Times New Roman" w:hAnsi="Times New Roman" w:eastAsia="微软雅黑" w:cs="Times New Roman"/>
                <w:color w:val="000000"/>
                <w:sz w:val="30"/>
                <w:szCs w:val="30"/>
                <w:u w:val="single"/>
              </w:rPr>
              <w:t xml:space="preserve">  （盖章）</w:t>
            </w:r>
          </w:p>
        </w:tc>
      </w:tr>
    </w:tbl>
    <w:p>
      <w:pPr>
        <w:pStyle w:val="28"/>
        <w:spacing w:before="98" w:beforeAutospacing="0" w:after="0" w:afterAutospacing="0"/>
        <w:ind w:left="597" w:right="231"/>
        <w:jc w:val="center"/>
        <w:rPr>
          <w:rFonts w:ascii="Times New Roman" w:hAnsi="Times New Roman" w:cs="Times New Roman"/>
        </w:rPr>
      </w:pPr>
    </w:p>
    <w:p>
      <w:pPr>
        <w:pStyle w:val="28"/>
        <w:spacing w:before="98" w:beforeAutospacing="0" w:after="0" w:afterAutospacing="0"/>
        <w:ind w:left="597" w:right="231"/>
        <w:jc w:val="center"/>
        <w:rPr>
          <w:rFonts w:ascii="Times New Roman" w:hAnsi="Times New Roman" w:cs="Times New Roman"/>
        </w:rPr>
      </w:pPr>
    </w:p>
    <w:p>
      <w:pPr>
        <w:pStyle w:val="28"/>
        <w:tabs>
          <w:tab w:val="left" w:pos="4898"/>
        </w:tabs>
        <w:spacing w:before="98" w:beforeAutospacing="0" w:after="0" w:afterAutospacing="0"/>
        <w:ind w:left="597" w:right="231"/>
        <w:rPr>
          <w:rFonts w:ascii="Times New Roman" w:hAnsi="Times New Roman" w:cs="Times New Roman"/>
        </w:rPr>
      </w:pPr>
      <w:r>
        <w:rPr>
          <w:rFonts w:ascii="Times New Roman" w:hAnsi="Times New Roman" w:cs="Times New Roman"/>
        </w:rPr>
        <w:tab/>
      </w:r>
    </w:p>
    <w:p>
      <w:pPr>
        <w:pStyle w:val="28"/>
        <w:spacing w:before="98" w:beforeAutospacing="0" w:after="0" w:afterAutospacing="0"/>
        <w:ind w:left="597" w:right="231"/>
        <w:jc w:val="center"/>
        <w:rPr>
          <w:rFonts w:ascii="Times New Roman" w:hAnsi="Times New Roman" w:cs="Times New Roman"/>
        </w:rPr>
      </w:pPr>
      <w:r>
        <w:rPr>
          <w:rFonts w:ascii="Times New Roman" w:hAnsi="Times New Roman" w:cs="Times New Roman"/>
        </w:rPr>
        <w:t>2024年__2__月</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黑体" w:cs="Times New Roman"/>
          <w:sz w:val="32"/>
          <w:szCs w:val="32"/>
        </w:rPr>
      </w:pPr>
      <w:r>
        <w:rPr>
          <w:rFonts w:ascii="Times New Roman" w:hAnsi="Times New Roman" w:eastAsia="黑体" w:cs="Times New Roman"/>
          <w:sz w:val="32"/>
          <w:szCs w:val="32"/>
          <w:lang w:val="zh-CN"/>
        </w:rPr>
        <w:t>目录</w:t>
      </w:r>
    </w:p>
    <w:p>
      <w:pPr>
        <w:pStyle w:val="16"/>
        <w:tabs>
          <w:tab w:val="left" w:pos="960"/>
          <w:tab w:val="right" w:leader="dot" w:pos="8296"/>
        </w:tabs>
        <w:ind w:left="480"/>
        <w:rPr>
          <w:rFonts w:asciiTheme="minorHAnsi" w:hAnsiTheme="minorHAnsi" w:eastAsiaTheme="minorEastAsia" w:cstheme="minorBidi"/>
          <w:kern w:val="2"/>
          <w:sz w:val="21"/>
          <w:szCs w:val="22"/>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"_Toc160210517" </w:instrText>
      </w:r>
      <w:r>
        <w:fldChar w:fldCharType="separate"/>
      </w:r>
      <w:r>
        <w:rPr>
          <w:rStyle w:val="25"/>
          <w:rFonts w:ascii="Times New Roman" w:hAnsi="Times New Roman"/>
        </w:rPr>
        <w:t>说</w:t>
      </w:r>
      <w:r>
        <w:rPr>
          <w:rFonts w:asciiTheme="minorHAnsi" w:hAnsiTheme="minorHAnsi" w:eastAsiaTheme="minorEastAsia" w:cstheme="minorBidi"/>
          <w:kern w:val="2"/>
          <w:sz w:val="21"/>
          <w:szCs w:val="22"/>
        </w:rPr>
        <w:tab/>
      </w:r>
      <w:r>
        <w:rPr>
          <w:rStyle w:val="25"/>
          <w:rFonts w:ascii="Times New Roman" w:hAnsi="Times New Roman"/>
        </w:rPr>
        <w:t>明</w:t>
      </w:r>
      <w:r>
        <w:tab/>
      </w:r>
      <w:r>
        <w:fldChar w:fldCharType="begin"/>
      </w:r>
      <w:r>
        <w:instrText xml:space="preserve"> PAGEREF _Toc160210517 \h </w:instrText>
      </w:r>
      <w:r>
        <w:fldChar w:fldCharType="separate"/>
      </w:r>
      <w:r>
        <w:t>4</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"_Toc160210518" </w:instrText>
      </w:r>
      <w:r>
        <w:fldChar w:fldCharType="separate"/>
      </w:r>
      <w:r>
        <w:rPr>
          <w:rStyle w:val="25"/>
        </w:rPr>
        <w:t>1.专业概况</w:t>
      </w:r>
      <w:r>
        <w:tab/>
      </w:r>
      <w:r>
        <w:fldChar w:fldCharType="begin"/>
      </w:r>
      <w:r>
        <w:instrText xml:space="preserve"> PAGEREF _Toc160210518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"_Toc160210519" </w:instrText>
      </w:r>
      <w:r>
        <w:fldChar w:fldCharType="separate"/>
      </w:r>
      <w:r>
        <w:rPr>
          <w:rStyle w:val="25"/>
          <w:rFonts w:cs="Times New Roman"/>
        </w:rPr>
        <w:t>1.1专业设置情况</w:t>
      </w:r>
      <w:r>
        <w:tab/>
      </w:r>
      <w:r>
        <w:fldChar w:fldCharType="begin"/>
      </w:r>
      <w:r>
        <w:instrText xml:space="preserve"> PAGEREF _Toc160210519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"_Toc160210520" </w:instrText>
      </w:r>
      <w:r>
        <w:fldChar w:fldCharType="separate"/>
      </w:r>
      <w:r>
        <w:rPr>
          <w:rStyle w:val="25"/>
          <w:rFonts w:cs="Times New Roman"/>
        </w:rPr>
        <w:t>1.2人才培养目标</w:t>
      </w:r>
      <w:r>
        <w:tab/>
      </w:r>
      <w:r>
        <w:fldChar w:fldCharType="begin"/>
      </w:r>
      <w:r>
        <w:instrText xml:space="preserve"> PAGEREF _Toc160210520 \h </w:instrText>
      </w:r>
      <w:r>
        <w:fldChar w:fldCharType="separate"/>
      </w:r>
      <w:r>
        <w:t>7</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"_Toc160210521" </w:instrText>
      </w:r>
      <w:r>
        <w:fldChar w:fldCharType="separate"/>
      </w:r>
      <w:r>
        <w:rPr>
          <w:rStyle w:val="25"/>
        </w:rPr>
        <w:t>2.毕业要求</w:t>
      </w:r>
      <w:r>
        <w:tab/>
      </w:r>
      <w:r>
        <w:fldChar w:fldCharType="begin"/>
      </w:r>
      <w:r>
        <w:instrText xml:space="preserve"> PAGEREF _Toc160210521 \h </w:instrText>
      </w:r>
      <w:r>
        <w:fldChar w:fldCharType="separate"/>
      </w:r>
      <w:r>
        <w:t>7</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"_Toc160210522" </w:instrText>
      </w:r>
      <w:r>
        <w:fldChar w:fldCharType="separate"/>
      </w:r>
      <w:r>
        <w:rPr>
          <w:rStyle w:val="25"/>
        </w:rPr>
        <w:t>3.培养情况</w:t>
      </w:r>
      <w:r>
        <w:tab/>
      </w:r>
      <w:r>
        <w:fldChar w:fldCharType="begin"/>
      </w:r>
      <w:r>
        <w:instrText xml:space="preserve"> PAGEREF _Toc160210522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"_Toc160210523" </w:instrText>
      </w:r>
      <w:r>
        <w:fldChar w:fldCharType="separate"/>
      </w:r>
      <w:r>
        <w:rPr>
          <w:rStyle w:val="25"/>
          <w:rFonts w:cs="Times New Roman"/>
        </w:rPr>
        <w:t>3.1专业建设情况</w:t>
      </w:r>
      <w:r>
        <w:tab/>
      </w:r>
      <w:r>
        <w:fldChar w:fldCharType="begin"/>
      </w:r>
      <w:r>
        <w:instrText xml:space="preserve"> PAGEREF _Toc160210523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"_Toc160210524" </w:instrText>
      </w:r>
      <w:r>
        <w:fldChar w:fldCharType="separate"/>
      </w:r>
      <w:r>
        <w:rPr>
          <w:rStyle w:val="25"/>
          <w:rFonts w:cs="Times New Roman"/>
        </w:rPr>
        <w:t>3.2专业教学计划</w:t>
      </w:r>
      <w:r>
        <w:tab/>
      </w:r>
      <w:r>
        <w:fldChar w:fldCharType="begin"/>
      </w:r>
      <w:r>
        <w:instrText xml:space="preserve"> PAGEREF _Toc160210524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"_Toc160210525" </w:instrText>
      </w:r>
      <w:r>
        <w:fldChar w:fldCharType="separate"/>
      </w:r>
      <w:r>
        <w:rPr>
          <w:rStyle w:val="25"/>
        </w:rPr>
        <w:t>3.3专业课开设情况</w:t>
      </w:r>
      <w:r>
        <w:tab/>
      </w:r>
      <w:r>
        <w:fldChar w:fldCharType="begin"/>
      </w:r>
      <w:r>
        <w:instrText xml:space="preserve"> PAGEREF _Toc160210525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"_Toc160210526" </w:instrText>
      </w:r>
      <w:r>
        <w:fldChar w:fldCharType="separate"/>
      </w:r>
      <w:r>
        <w:rPr>
          <w:rStyle w:val="25"/>
        </w:rPr>
        <w:t>3.4专业课课堂规模</w:t>
      </w:r>
      <w:r>
        <w:tab/>
      </w:r>
      <w:r>
        <w:fldChar w:fldCharType="begin"/>
      </w:r>
      <w:r>
        <w:instrText xml:space="preserve"> PAGEREF _Toc160210526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"_Toc160210527" </w:instrText>
      </w:r>
      <w:r>
        <w:fldChar w:fldCharType="separate"/>
      </w:r>
      <w:r>
        <w:rPr>
          <w:rStyle w:val="25"/>
        </w:rPr>
        <w:t>3.5专业的核心课程情况</w:t>
      </w:r>
      <w:r>
        <w:tab/>
      </w:r>
      <w:r>
        <w:fldChar w:fldCharType="begin"/>
      </w:r>
      <w:r>
        <w:instrText xml:space="preserve"> PAGEREF _Toc160210527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"_Toc160210528" </w:instrText>
      </w:r>
      <w:r>
        <w:fldChar w:fldCharType="separate"/>
      </w:r>
      <w:r>
        <w:rPr>
          <w:rStyle w:val="25"/>
        </w:rPr>
        <w:t>3.6实验教学情况</w:t>
      </w:r>
      <w:r>
        <w:tab/>
      </w:r>
      <w:r>
        <w:fldChar w:fldCharType="begin"/>
      </w:r>
      <w:r>
        <w:instrText xml:space="preserve"> PAGEREF _Toc160210528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"_Toc160210529" </w:instrText>
      </w:r>
      <w:r>
        <w:fldChar w:fldCharType="separate"/>
      </w:r>
      <w:r>
        <w:rPr>
          <w:rStyle w:val="25"/>
          <w:rFonts w:cs="Times New Roman"/>
        </w:rPr>
        <w:t>3.7实践教学情况</w:t>
      </w:r>
      <w:r>
        <w:tab/>
      </w:r>
      <w:r>
        <w:fldChar w:fldCharType="begin"/>
      </w:r>
      <w:r>
        <w:instrText xml:space="preserve"> PAGEREF _Toc160210529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"_Toc160210530" </w:instrText>
      </w:r>
      <w:r>
        <w:fldChar w:fldCharType="separate"/>
      </w:r>
      <w:r>
        <w:rPr>
          <w:rStyle w:val="25"/>
          <w:rFonts w:cs="Times New Roman"/>
        </w:rPr>
        <w:t>3.8创新创业教育</w:t>
      </w:r>
      <w:r>
        <w:tab/>
      </w:r>
      <w:r>
        <w:fldChar w:fldCharType="begin"/>
      </w:r>
      <w:r>
        <w:instrText xml:space="preserve"> PAGEREF _Toc160210530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"_Toc160210531" </w:instrText>
      </w:r>
      <w:r>
        <w:fldChar w:fldCharType="separate"/>
      </w:r>
      <w:r>
        <w:rPr>
          <w:rStyle w:val="25"/>
          <w:rFonts w:cs="Times New Roman"/>
        </w:rPr>
        <w:t>3.9学生毕业综合训练情况</w:t>
      </w:r>
      <w:r>
        <w:tab/>
      </w:r>
      <w:r>
        <w:fldChar w:fldCharType="begin"/>
      </w:r>
      <w:r>
        <w:instrText xml:space="preserve"> PAGEREF _Toc160210531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"_Toc160210532" </w:instrText>
      </w:r>
      <w:r>
        <w:fldChar w:fldCharType="separate"/>
      </w:r>
      <w:r>
        <w:rPr>
          <w:rStyle w:val="25"/>
          <w:rFonts w:cs="Times New Roman"/>
        </w:rPr>
        <w:t>3.10教学改革</w:t>
      </w:r>
      <w:r>
        <w:tab/>
      </w:r>
      <w:r>
        <w:fldChar w:fldCharType="begin"/>
      </w:r>
      <w:r>
        <w:instrText xml:space="preserve"> PAGEREF _Toc160210532 \h </w:instrText>
      </w:r>
      <w:r>
        <w:fldChar w:fldCharType="separate"/>
      </w:r>
      <w:r>
        <w:t>13</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"_Toc160210533" </w:instrText>
      </w:r>
      <w:r>
        <w:fldChar w:fldCharType="separate"/>
      </w:r>
      <w:r>
        <w:rPr>
          <w:rStyle w:val="25"/>
        </w:rPr>
        <w:t>4.教师队伍</w:t>
      </w:r>
      <w:r>
        <w:tab/>
      </w:r>
      <w:r>
        <w:fldChar w:fldCharType="begin"/>
      </w:r>
      <w:r>
        <w:instrText xml:space="preserve"> PAGEREF _Toc160210533 \h </w:instrText>
      </w:r>
      <w:r>
        <w:fldChar w:fldCharType="separate"/>
      </w:r>
      <w:r>
        <w:t>14</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"_Toc160210534" </w:instrText>
      </w:r>
      <w:r>
        <w:fldChar w:fldCharType="separate"/>
      </w:r>
      <w:r>
        <w:rPr>
          <w:rStyle w:val="25"/>
          <w:rFonts w:cs="Times New Roman"/>
        </w:rPr>
        <w:t>4.1专业教师数量与结构</w:t>
      </w:r>
      <w:r>
        <w:tab/>
      </w:r>
      <w:r>
        <w:fldChar w:fldCharType="begin"/>
      </w:r>
      <w:r>
        <w:instrText xml:space="preserve"> PAGEREF _Toc160210534 \h </w:instrText>
      </w:r>
      <w:r>
        <w:fldChar w:fldCharType="separate"/>
      </w:r>
      <w:r>
        <w:t>14</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"_Toc160210535" </w:instrText>
      </w:r>
      <w:r>
        <w:fldChar w:fldCharType="separate"/>
      </w:r>
      <w:r>
        <w:rPr>
          <w:rStyle w:val="25"/>
          <w:rFonts w:cs="Times New Roman"/>
        </w:rPr>
        <w:t>4.2授课师资分析</w:t>
      </w:r>
      <w:r>
        <w:tab/>
      </w:r>
      <w:r>
        <w:fldChar w:fldCharType="begin"/>
      </w:r>
      <w:r>
        <w:instrText xml:space="preserve"> PAGEREF _Toc160210535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"_Toc160210536" </w:instrText>
      </w:r>
      <w:r>
        <w:fldChar w:fldCharType="separate"/>
      </w:r>
      <w:r>
        <w:rPr>
          <w:rStyle w:val="25"/>
          <w:rFonts w:cs="Times New Roman"/>
        </w:rPr>
        <w:t>4.3教师教学科研情况</w:t>
      </w:r>
      <w:r>
        <w:tab/>
      </w:r>
      <w:r>
        <w:fldChar w:fldCharType="begin"/>
      </w:r>
      <w:r>
        <w:instrText xml:space="preserve"> PAGEREF _Toc160210536 \h </w:instrText>
      </w:r>
      <w:r>
        <w:fldChar w:fldCharType="separate"/>
      </w:r>
      <w:r>
        <w:t>16</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"_Toc160210537" </w:instrText>
      </w:r>
      <w:r>
        <w:fldChar w:fldCharType="separate"/>
      </w:r>
      <w:r>
        <w:rPr>
          <w:rStyle w:val="25"/>
        </w:rPr>
        <w:t>5.支持条件</w:t>
      </w:r>
      <w:r>
        <w:tab/>
      </w:r>
      <w:r>
        <w:fldChar w:fldCharType="begin"/>
      </w:r>
      <w:r>
        <w:instrText xml:space="preserve"> PAGEREF _Toc160210537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"_Toc160210538" </w:instrText>
      </w:r>
      <w:r>
        <w:fldChar w:fldCharType="separate"/>
      </w:r>
      <w:r>
        <w:rPr>
          <w:rStyle w:val="25"/>
          <w:rFonts w:cs="Times New Roman"/>
        </w:rPr>
        <w:t>5.1学校生均教学经费情况</w:t>
      </w:r>
      <w:r>
        <w:tab/>
      </w:r>
      <w:r>
        <w:fldChar w:fldCharType="begin"/>
      </w:r>
      <w:r>
        <w:instrText xml:space="preserve"> PAGEREF _Toc160210538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"_Toc160210539" </w:instrText>
      </w:r>
      <w:r>
        <w:fldChar w:fldCharType="separate"/>
      </w:r>
      <w:r>
        <w:rPr>
          <w:rStyle w:val="25"/>
          <w:rFonts w:cs="Times New Roman"/>
        </w:rPr>
        <w:t>5.2支撑专业实验教学校内场所情况</w:t>
      </w:r>
      <w:r>
        <w:tab/>
      </w:r>
      <w:r>
        <w:fldChar w:fldCharType="begin"/>
      </w:r>
      <w:r>
        <w:instrText xml:space="preserve"> PAGEREF _Toc160210539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"_Toc160210540" </w:instrText>
      </w:r>
      <w:r>
        <w:fldChar w:fldCharType="separate"/>
      </w:r>
      <w:r>
        <w:rPr>
          <w:rStyle w:val="25"/>
          <w:rFonts w:cs="Times New Roman"/>
        </w:rPr>
        <w:t>5.3校外本科教学实习实训基地情况</w:t>
      </w:r>
      <w:r>
        <w:tab/>
      </w:r>
      <w:r>
        <w:fldChar w:fldCharType="begin"/>
      </w:r>
      <w:r>
        <w:instrText xml:space="preserve"> PAGEREF _Toc160210540 \h </w:instrText>
      </w:r>
      <w:r>
        <w:fldChar w:fldCharType="separate"/>
      </w:r>
      <w:r>
        <w:t>17</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"_Toc160210541" </w:instrText>
      </w:r>
      <w:r>
        <w:fldChar w:fldCharType="separate"/>
      </w:r>
      <w:r>
        <w:rPr>
          <w:rStyle w:val="25"/>
        </w:rPr>
        <w:t>6.质量保障</w:t>
      </w:r>
      <w:r>
        <w:tab/>
      </w:r>
      <w:r>
        <w:fldChar w:fldCharType="begin"/>
      </w:r>
      <w:r>
        <w:instrText xml:space="preserve"> PAGEREF _Toc160210541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"_Toc160210542" </w:instrText>
      </w:r>
      <w:r>
        <w:fldChar w:fldCharType="separate"/>
      </w:r>
      <w:r>
        <w:rPr>
          <w:rStyle w:val="25"/>
          <w:rFonts w:cs="Times New Roman"/>
        </w:rPr>
        <w:t>6.1质量保障体系</w:t>
      </w:r>
      <w:r>
        <w:tab/>
      </w:r>
      <w:r>
        <w:fldChar w:fldCharType="begin"/>
      </w:r>
      <w:r>
        <w:instrText xml:space="preserve"> PAGEREF _Toc160210542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"_Toc160210543" </w:instrText>
      </w:r>
      <w:r>
        <w:fldChar w:fldCharType="separate"/>
      </w:r>
      <w:r>
        <w:rPr>
          <w:rStyle w:val="25"/>
          <w:rFonts w:cs="Times New Roman"/>
        </w:rPr>
        <w:t>6.2质量监控制度及实施办法</w:t>
      </w:r>
      <w:r>
        <w:tab/>
      </w:r>
      <w:r>
        <w:fldChar w:fldCharType="begin"/>
      </w:r>
      <w:r>
        <w:instrText xml:space="preserve"> PAGEREF _Toc160210543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"_Toc160210544" </w:instrText>
      </w:r>
      <w:r>
        <w:fldChar w:fldCharType="separate"/>
      </w:r>
      <w:r>
        <w:rPr>
          <w:rStyle w:val="25"/>
          <w:rFonts w:cs="Times New Roman"/>
        </w:rPr>
        <w:t>6.3质量评估反馈及持续改进</w:t>
      </w:r>
      <w:r>
        <w:tab/>
      </w:r>
      <w:r>
        <w:fldChar w:fldCharType="begin"/>
      </w:r>
      <w:r>
        <w:instrText xml:space="preserve"> PAGEREF _Toc160210544 \h </w:instrText>
      </w:r>
      <w:r>
        <w:fldChar w:fldCharType="separate"/>
      </w:r>
      <w:r>
        <w:t>19</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"_Toc160210545" </w:instrText>
      </w:r>
      <w:r>
        <w:fldChar w:fldCharType="separate"/>
      </w:r>
      <w:r>
        <w:rPr>
          <w:rStyle w:val="25"/>
          <w:rFonts w:cs="Times New Roman"/>
        </w:rPr>
        <w:t>6.4在校生与毕业生满意度</w:t>
      </w:r>
      <w:r>
        <w:tab/>
      </w:r>
      <w:r>
        <w:fldChar w:fldCharType="begin"/>
      </w:r>
      <w:r>
        <w:instrText xml:space="preserve"> PAGEREF _Toc160210545 \h </w:instrText>
      </w:r>
      <w:r>
        <w:fldChar w:fldCharType="separate"/>
      </w:r>
      <w:r>
        <w:t>20</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"_Toc160210546" </w:instrText>
      </w:r>
      <w:r>
        <w:fldChar w:fldCharType="separate"/>
      </w:r>
      <w:r>
        <w:rPr>
          <w:rStyle w:val="25"/>
        </w:rPr>
        <w:t>7.学生发展</w:t>
      </w:r>
      <w:r>
        <w:tab/>
      </w:r>
      <w:r>
        <w:fldChar w:fldCharType="begin"/>
      </w:r>
      <w:r>
        <w:instrText xml:space="preserve"> PAGEREF _Toc160210546 \h </w:instrText>
      </w:r>
      <w:r>
        <w:fldChar w:fldCharType="separate"/>
      </w:r>
      <w:r>
        <w:t>20</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"_Toc160210547" </w:instrText>
      </w:r>
      <w:r>
        <w:fldChar w:fldCharType="separate"/>
      </w:r>
      <w:r>
        <w:rPr>
          <w:rStyle w:val="25"/>
          <w:rFonts w:cs="Times New Roman"/>
        </w:rPr>
        <w:t>7.1本科在校生数量基本情况</w:t>
      </w:r>
      <w:r>
        <w:tab/>
      </w:r>
      <w:r>
        <w:fldChar w:fldCharType="begin"/>
      </w:r>
      <w:r>
        <w:instrText xml:space="preserve"> PAGEREF _Toc160210547 \h </w:instrText>
      </w:r>
      <w:r>
        <w:fldChar w:fldCharType="separate"/>
      </w:r>
      <w:r>
        <w:t>20</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"_Toc160210548" </w:instrText>
      </w:r>
      <w:r>
        <w:fldChar w:fldCharType="separate"/>
      </w:r>
      <w:r>
        <w:rPr>
          <w:rStyle w:val="25"/>
          <w:rFonts w:ascii="Times New Roman" w:hAnsi="Times New Roman" w:cs="Times New Roman"/>
        </w:rPr>
        <w:t>7.2毕业生毕业率、学位授予率与去向落实率</w:t>
      </w:r>
      <w:r>
        <w:tab/>
      </w:r>
      <w:r>
        <w:fldChar w:fldCharType="begin"/>
      </w:r>
      <w:r>
        <w:instrText xml:space="preserve"> PAGEREF _Toc160210548 \h </w:instrText>
      </w:r>
      <w:r>
        <w:fldChar w:fldCharType="separate"/>
      </w:r>
      <w:r>
        <w:t>20</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"_Toc160210549" </w:instrText>
      </w:r>
      <w:r>
        <w:fldChar w:fldCharType="separate"/>
      </w:r>
      <w:r>
        <w:rPr>
          <w:rStyle w:val="25"/>
          <w:rFonts w:ascii="Times New Roman" w:hAnsi="Times New Roman" w:cs="Times New Roman"/>
        </w:rPr>
        <w:t>7.3学风建设情况</w:t>
      </w:r>
      <w:r>
        <w:tab/>
      </w:r>
      <w:r>
        <w:fldChar w:fldCharType="begin"/>
      </w:r>
      <w:r>
        <w:instrText xml:space="preserve"> PAGEREF _Toc160210549 \h </w:instrText>
      </w:r>
      <w:r>
        <w:fldChar w:fldCharType="separate"/>
      </w:r>
      <w:r>
        <w:t>20</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"_Toc160210550" </w:instrText>
      </w:r>
      <w:r>
        <w:fldChar w:fldCharType="separate"/>
      </w:r>
      <w:r>
        <w:rPr>
          <w:rStyle w:val="25"/>
        </w:rPr>
        <w:t>8.特色发展与案例</w:t>
      </w:r>
      <w:r>
        <w:tab/>
      </w:r>
      <w:r>
        <w:fldChar w:fldCharType="begin"/>
      </w:r>
      <w:r>
        <w:instrText xml:space="preserve"> PAGEREF _Toc160210550 \h </w:instrText>
      </w:r>
      <w:r>
        <w:fldChar w:fldCharType="separate"/>
      </w:r>
      <w:r>
        <w:t>21</w:t>
      </w:r>
      <w:r>
        <w:fldChar w:fldCharType="end"/>
      </w:r>
      <w:r>
        <w:fldChar w:fldCharType="end"/>
      </w:r>
    </w:p>
    <w:p>
      <w:pPr>
        <w:pStyle w:val="16"/>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"_Toc160210551" </w:instrText>
      </w:r>
      <w:r>
        <w:fldChar w:fldCharType="separate"/>
      </w:r>
      <w:r>
        <w:rPr>
          <w:rStyle w:val="25"/>
        </w:rPr>
        <w:t>9.问题与对策</w:t>
      </w:r>
      <w:r>
        <w:tab/>
      </w:r>
      <w:r>
        <w:fldChar w:fldCharType="begin"/>
      </w:r>
      <w:r>
        <w:instrText xml:space="preserve"> PAGEREF _Toc160210551 \h </w:instrText>
      </w:r>
      <w:r>
        <w:fldChar w:fldCharType="separate"/>
      </w:r>
      <w:r>
        <w:t>22</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"_Toc160210552" </w:instrText>
      </w:r>
      <w:r>
        <w:fldChar w:fldCharType="separate"/>
      </w:r>
      <w:r>
        <w:rPr>
          <w:rStyle w:val="25"/>
          <w:rFonts w:cs="Times New Roman"/>
        </w:rPr>
        <w:t>9.1专业发展中存在的不足与问题</w:t>
      </w:r>
      <w:r>
        <w:tab/>
      </w:r>
      <w:r>
        <w:fldChar w:fldCharType="begin"/>
      </w:r>
      <w:r>
        <w:instrText xml:space="preserve"> PAGEREF _Toc160210552 \h </w:instrText>
      </w:r>
      <w:r>
        <w:fldChar w:fldCharType="separate"/>
      </w:r>
      <w:r>
        <w:t>22</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"_Toc160210553" </w:instrText>
      </w:r>
      <w:r>
        <w:fldChar w:fldCharType="separate"/>
      </w:r>
      <w:r>
        <w:rPr>
          <w:rStyle w:val="25"/>
          <w:rFonts w:cs="Times New Roman"/>
        </w:rPr>
        <w:t>9.2采取的对策及改进措施</w:t>
      </w:r>
      <w:r>
        <w:tab/>
      </w:r>
      <w:r>
        <w:fldChar w:fldCharType="begin"/>
      </w:r>
      <w:r>
        <w:instrText xml:space="preserve"> PAGEREF _Toc160210553 \h </w:instrText>
      </w:r>
      <w:r>
        <w:fldChar w:fldCharType="separate"/>
      </w:r>
      <w:r>
        <w:t>25</w:t>
      </w:r>
      <w:r>
        <w:fldChar w:fldCharType="end"/>
      </w:r>
      <w:r>
        <w:fldChar w:fldCharType="end"/>
      </w:r>
    </w:p>
    <w:p>
      <w:pPr>
        <w:pStyle w:val="28"/>
        <w:spacing w:before="98" w:beforeAutospacing="0" w:after="0" w:afterAutospacing="0" w:line="360" w:lineRule="auto"/>
        <w:ind w:left="597" w:right="231"/>
        <w:jc w:val="center"/>
        <w:rPr>
          <w:rFonts w:ascii="Times New Roman" w:hAnsi="Times New Roman" w:cs="Times New Roman"/>
        </w:rPr>
      </w:pPr>
      <w:r>
        <w:rPr>
          <w:rFonts w:ascii="Times New Roman" w:hAnsi="Times New Roman" w:cs="Times New Roman"/>
        </w:rPr>
        <w:fldChar w:fldCharType="end"/>
      </w:r>
    </w:p>
    <w:p>
      <w:pPr>
        <w:rPr>
          <w:rFonts w:ascii="Times New Roman" w:hAnsi="Times New Roman" w:cs="Times New Roman"/>
        </w:rPr>
      </w:pPr>
      <w:r>
        <w:rPr>
          <w:rFonts w:ascii="Times New Roman" w:hAnsi="Times New Roman" w:cs="Times New Roman"/>
        </w:rPr>
        <w:br w:type="page"/>
      </w:r>
    </w:p>
    <w:p>
      <w:pPr>
        <w:pStyle w:val="3"/>
        <w:jc w:val="center"/>
        <w:rPr>
          <w:rFonts w:ascii="Times New Roman" w:hAnsi="Times New Roman"/>
        </w:rPr>
      </w:pPr>
      <w:bookmarkStart w:id="1" w:name="_Toc128820648"/>
      <w:bookmarkStart w:id="2" w:name="_Toc160210517"/>
      <w:r>
        <w:rPr>
          <w:rFonts w:ascii="Times New Roman" w:hAnsi="Times New Roman"/>
        </w:rPr>
        <w:t>说</w:t>
      </w:r>
      <w:r>
        <w:rPr>
          <w:rFonts w:ascii="Times New Roman" w:hAnsi="Times New Roman"/>
        </w:rPr>
        <w:tab/>
      </w:r>
      <w:r>
        <w:rPr>
          <w:rFonts w:ascii="Times New Roman" w:hAnsi="Times New Roman"/>
        </w:rPr>
        <w:t>明</w:t>
      </w:r>
      <w:bookmarkEnd w:id="1"/>
      <w:bookmarkEnd w:id="2"/>
      <w:r>
        <w:rPr>
          <w:rFonts w:ascii="Times New Roman" w:hAnsi="Times New Roman"/>
        </w:rPr>
        <w:t xml:space="preserve"> </w:t>
      </w:r>
    </w:p>
    <w:p>
      <w:pPr>
        <w:widowControl w:val="0"/>
        <w:ind w:firstLine="420"/>
        <w:rPr>
          <w:rFonts w:ascii="Times New Roman" w:hAnsi="Times New Roman" w:eastAsia="仿宋" w:cs="Times New Roman"/>
          <w:kern w:val="2"/>
          <w:sz w:val="28"/>
          <w:szCs w:val="28"/>
        </w:rPr>
      </w:pPr>
      <w:r>
        <w:rPr>
          <w:rFonts w:ascii="Times New Roman" w:hAnsi="Times New Roman" w:eastAsia="仿宋" w:cs="Times New Roman"/>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Times New Roman" w:hAnsi="Times New Roman" w:eastAsia="仿宋" w:cs="Times New Roman"/>
          <w:kern w:val="2"/>
          <w:sz w:val="28"/>
          <w:szCs w:val="28"/>
        </w:rPr>
      </w:pPr>
      <w:r>
        <w:rPr>
          <w:rFonts w:ascii="Times New Roman" w:hAnsi="Times New Roman" w:eastAsia="仿宋" w:cs="Times New Roman"/>
          <w:kern w:val="2"/>
          <w:sz w:val="28"/>
          <w:szCs w:val="28"/>
        </w:rPr>
        <w:t>报告中财务和科研数据的统计时点为</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年自然年（即</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年1月1日至12月31日），教学等其他数据统计时点为</w:t>
      </w:r>
      <w:r>
        <w:rPr>
          <w:rFonts w:hint="eastAsia" w:ascii="Times New Roman" w:hAnsi="Times New Roman" w:eastAsia="仿宋" w:cs="Times New Roman"/>
          <w:kern w:val="2"/>
          <w:sz w:val="28"/>
          <w:szCs w:val="28"/>
          <w:lang w:val="en-US" w:eastAsia="zh-CN"/>
        </w:rPr>
        <w:t>2022-2023</w:t>
      </w:r>
      <w:r>
        <w:rPr>
          <w:rFonts w:ascii="Times New Roman" w:hAnsi="Times New Roman" w:eastAsia="仿宋" w:cs="Times New Roman"/>
          <w:kern w:val="2"/>
          <w:sz w:val="28"/>
          <w:szCs w:val="28"/>
        </w:rPr>
        <w:t xml:space="preserve">学年（即 </w:t>
      </w:r>
      <w:r>
        <w:rPr>
          <w:rFonts w:hint="eastAsia" w:ascii="Times New Roman" w:hAnsi="Times New Roman" w:eastAsia="仿宋" w:cs="Times New Roman"/>
          <w:kern w:val="2"/>
          <w:sz w:val="28"/>
          <w:szCs w:val="28"/>
          <w:lang w:val="en-US" w:eastAsia="zh-CN"/>
        </w:rPr>
        <w:t>2022</w:t>
      </w:r>
      <w:r>
        <w:rPr>
          <w:rFonts w:ascii="Times New Roman" w:hAnsi="Times New Roman" w:eastAsia="仿宋" w:cs="Times New Roman"/>
          <w:kern w:val="2"/>
          <w:sz w:val="28"/>
          <w:szCs w:val="28"/>
        </w:rPr>
        <w:t xml:space="preserve">年 9 月 1 日至 </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 8 月 31 日）。</w:t>
      </w:r>
    </w:p>
    <w:p>
      <w:pPr>
        <w:rPr>
          <w:rFonts w:ascii="Times New Roman" w:hAnsi="Times New Roman" w:eastAsia="仿宋" w:cs="Times New Roman"/>
          <w:kern w:val="2"/>
          <w:sz w:val="28"/>
          <w:szCs w:val="28"/>
        </w:rPr>
      </w:pPr>
      <w:r>
        <w:rPr>
          <w:rFonts w:ascii="Times New Roman" w:hAnsi="Times New Roman" w:eastAsia="仿宋" w:cs="Times New Roman"/>
          <w:kern w:val="2"/>
          <w:sz w:val="28"/>
          <w:szCs w:val="28"/>
        </w:rPr>
        <w:br w:type="page"/>
      </w:r>
    </w:p>
    <w:p>
      <w:pPr>
        <w:pStyle w:val="3"/>
        <w:pageBreakBefore/>
        <w:adjustRightInd w:val="0"/>
        <w:snapToGrid w:val="0"/>
        <w:spacing w:before="0" w:after="0" w:line="360" w:lineRule="auto"/>
        <w:jc w:val="left"/>
        <w:rPr>
          <w:rFonts w:ascii="宋体" w:hAnsi="宋体"/>
          <w:sz w:val="28"/>
          <w:szCs w:val="28"/>
        </w:rPr>
      </w:pPr>
      <w:bookmarkStart w:id="3" w:name="_Toc160210518"/>
      <w:r>
        <w:rPr>
          <w:rFonts w:ascii="宋体" w:hAnsi="宋体"/>
          <w:sz w:val="28"/>
          <w:szCs w:val="28"/>
        </w:rPr>
        <w:t>1.专业概况</w:t>
      </w:r>
      <w:bookmarkEnd w:id="3"/>
    </w:p>
    <w:p>
      <w:pPr>
        <w:pStyle w:val="4"/>
        <w:adjustRightInd w:val="0"/>
        <w:snapToGrid w:val="0"/>
        <w:spacing w:before="0" w:after="0" w:line="360" w:lineRule="auto"/>
        <w:ind w:firstLine="482" w:firstLineChars="200"/>
        <w:rPr>
          <w:rFonts w:ascii="宋体" w:hAnsi="宋体" w:eastAsia="宋体" w:cs="Times New Roman"/>
          <w:sz w:val="24"/>
          <w:szCs w:val="24"/>
        </w:rPr>
      </w:pPr>
      <w:bookmarkStart w:id="4" w:name="_Toc160210519"/>
      <w:r>
        <w:rPr>
          <w:rFonts w:ascii="宋体" w:hAnsi="宋体" w:eastAsia="宋体" w:cs="Times New Roman"/>
          <w:sz w:val="24"/>
          <w:szCs w:val="24"/>
        </w:rPr>
        <w:t>1.1专业设置情况</w:t>
      </w:r>
      <w:bookmarkEnd w:id="4"/>
    </w:p>
    <w:p>
      <w:pPr>
        <w:shd w:val="clear" w:color="auto" w:fill="FFFFFF"/>
        <w:adjustRightInd w:val="0"/>
        <w:snapToGrid w:val="0"/>
        <w:spacing w:line="360" w:lineRule="auto"/>
        <w:ind w:firstLine="48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人力资源管理专业由管理学院主办，于</w:t>
      </w:r>
      <w:r>
        <w:rPr>
          <w:rFonts w:cs="Times New Roman"/>
          <w:color w:val="000000" w:themeColor="text1"/>
          <w14:textFill>
            <w14:solidFill>
              <w14:schemeClr w14:val="tx1"/>
            </w14:solidFill>
          </w14:textFill>
        </w:rPr>
        <w:t>2007年获得中华人民共和国教育部批准设立（四年制，专业代码120206），并于2008年开始招生。本专业自设立以来，一直秉持“价值塑造、知识传授和能力培养”三位一体，落实立德树人根本任务，结合商科国际认证要求，主动对接现代产业要求，服务上海经济以及社会发展。培养计划紧密结合我校“六大学科群”建设，坚持加强基础理论教育、突出专业特色，重视知识、能力、素质协调发展，理论联系实际，强化创新能力的培养。遵照“以社会需求为导向、以专业建设为基础、以教育改革为手段、以应用型人才培养为</w:t>
      </w:r>
      <w:r>
        <w:rPr>
          <w:rFonts w:hint="eastAsia" w:cs="Times New Roman"/>
          <w:color w:val="000000" w:themeColor="text1"/>
          <w14:textFill>
            <w14:solidFill>
              <w14:schemeClr w14:val="tx1"/>
            </w14:solidFill>
          </w14:textFill>
        </w:rPr>
        <w:t>特色、以提高教学质量为目标”的原则，注重专业能力、通识核心能力、基本素养能力的教育与提升，大力培养适应全球化背景下的应用型人才。</w:t>
      </w:r>
    </w:p>
    <w:p>
      <w:pPr>
        <w:adjustRightInd w:val="0"/>
        <w:snapToGrid w:val="0"/>
        <w:spacing w:line="360" w:lineRule="auto"/>
        <w:ind w:firstLine="48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长期以来，人力资源管理在专业发展以及人才培养方面始终贯彻落实党的教育方针和学校学院的基本要求。注重与经典人力资源管理理论相结合，注重与中国现实的人力资源管理实践相结合，注重学科研究与地方经济发展相结合。坚持学科链对接产业链的教育方针，坚持工科背景的错位竞争与紧缺人才培养优势，坚持产学合作教育模式和校企互动的创新教育特色，紧密对接上海经济与社会发展的需要。 在人才培养模式上，打造“平台化、流程化、模块化”人才培养模式，以“厚基础、宽平台、精内容、重实践、提素养”为指导原则，将知识体系的系统化与人才培养的模块化有机融合，从公共基础知识、学科基础知识、专业知识、实践锻炼4个方面进行模块化教学，通过管理案例教学、实验教学、管理模拟及社会实践活动，使学生全面接受人力资源管理方法与技巧方面的综合训练，既精准对接企业人力资源管理实务的需求，又满足学生的个性化发展的需要。</w:t>
      </w:r>
      <w:r>
        <w:rPr>
          <w:rFonts w:hint="eastAsia"/>
        </w:rPr>
        <w:t>本专业经历了15年的发展历程，充分结合了工科院校的独特的特色和专业发展目标，在师资队伍建设、课程设置、人才培养以及教学模式等多个方面取得了显著进步，逐步形成了自己的专业特色。</w:t>
      </w:r>
    </w:p>
    <w:p>
      <w:pPr>
        <w:shd w:val="clear" w:color="auto" w:fill="FFFFFF"/>
        <w:adjustRightInd w:val="0"/>
        <w:snapToGrid w:val="0"/>
        <w:jc w:val="center"/>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14:textFill>
            <w14:solidFill>
              <w14:schemeClr w14:val="tx1"/>
            </w14:solidFill>
          </w14:textFill>
        </w:rPr>
        <w:t>表1</w:t>
      </w:r>
      <w:r>
        <w:rPr>
          <w:rFonts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14:textFill>
            <w14:solidFill>
              <w14:schemeClr w14:val="tx1"/>
            </w14:solidFill>
          </w14:textFill>
        </w:rPr>
        <w:t>专业基本情况</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ind w:left="2659" w:right="2650"/>
              <w:jc w:val="center"/>
              <w:rPr>
                <w:sz w:val="21"/>
                <w:szCs w:val="21"/>
              </w:rPr>
            </w:pPr>
            <w:r>
              <w:rPr>
                <w:rFonts w:hint="eastAsia"/>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jc w:val="center"/>
              <w:rPr>
                <w:sz w:val="21"/>
                <w:szCs w:val="21"/>
              </w:rPr>
            </w:pPr>
            <w:r>
              <w:rPr>
                <w:rFonts w:hint="eastAsia"/>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pPr>
            <w:r>
              <w:rPr>
                <w:rFonts w:hint="eastAsia"/>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120206</w:t>
            </w:r>
            <w:bookmarkStart w:id="5" w:name="OLE_LINK2"/>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人力资源管理</w:t>
            </w:r>
            <w:bookmarkStart w:id="6" w:name="OLE_LINK3"/>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2007</w:t>
            </w:r>
            <w:bookmarkStart w:id="7" w:name="OLE_LINK4"/>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bookmarkStart w:id="8" w:name="OLE_LINK5"/>
            <w:r>
              <w:rPr>
                <w:rFonts w:hint="eastAsia"/>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bookmarkStart w:id="9" w:name="OLE_LINK6"/>
            <w:r>
              <w:rPr>
                <w:rFonts w:hint="eastAsia"/>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bookmarkStart w:id="10" w:name="OLE_LINK7"/>
            <w:r>
              <w:rPr>
                <w:rFonts w:hint="eastAsia"/>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管理学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94.44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pPr>
            <w:r>
              <w:rPr>
                <w:rFonts w:hint="eastAsia"/>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李含伟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rFonts w:ascii="Segoe UI" w:hAnsi="Segoe UI" w:cs="Segoe UI"/>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32"/>
              <w:spacing w:before="8" w:beforeAutospacing="0"/>
              <w:jc w:val="center"/>
              <w:rPr>
                <w:sz w:val="21"/>
                <w:szCs w:val="22"/>
              </w:rPr>
            </w:pPr>
            <w:r>
              <w:rPr>
                <w:rFonts w:hint="eastAsia"/>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8"/>
              <w:jc w:val="center"/>
              <w:rPr>
                <w:sz w:val="21"/>
                <w:szCs w:val="22"/>
              </w:rPr>
            </w:pPr>
            <w:r>
              <w:rPr>
                <w:rFonts w:ascii="Segoe UI" w:hAnsi="Segoe UI" w:cs="Segoe UI"/>
                <w:sz w:val="21"/>
                <w:szCs w:val="21"/>
              </w:rPr>
              <w:t>2</w:t>
            </w:r>
          </w:p>
        </w:tc>
      </w:tr>
    </w:tbl>
    <w:p>
      <w:pPr>
        <w:shd w:val="clear" w:color="auto" w:fill="FFFFFF"/>
        <w:adjustRightInd w:val="0"/>
        <w:snapToGrid w:val="0"/>
        <w:jc w:val="center"/>
        <w:rPr>
          <w:rFonts w:ascii="Times New Roman" w:hAnsi="Times New Roman" w:eastAsia="仿宋_GB2312" w:cs="Times New Roman"/>
          <w:color w:val="000000" w:themeColor="text1"/>
          <w14:textFill>
            <w14:solidFill>
              <w14:schemeClr w14:val="tx1"/>
            </w14:solidFill>
          </w14:textFill>
        </w:rPr>
      </w:pPr>
    </w:p>
    <w:p>
      <w:pPr>
        <w:pStyle w:val="4"/>
        <w:adjustRightInd w:val="0"/>
        <w:snapToGrid w:val="0"/>
        <w:spacing w:before="0" w:after="0" w:line="360" w:lineRule="auto"/>
        <w:rPr>
          <w:rFonts w:ascii="宋体" w:hAnsi="宋体" w:eastAsia="宋体" w:cs="Times New Roman"/>
          <w:sz w:val="24"/>
          <w:szCs w:val="24"/>
        </w:rPr>
      </w:pPr>
      <w:bookmarkStart w:id="11" w:name="_Toc160210520"/>
      <w:r>
        <w:rPr>
          <w:rFonts w:ascii="宋体" w:hAnsi="宋体" w:eastAsia="宋体" w:cs="Times New Roman"/>
          <w:sz w:val="24"/>
          <w:szCs w:val="24"/>
        </w:rPr>
        <w:t>1.2人才培养目标</w:t>
      </w:r>
      <w:bookmarkEnd w:id="11"/>
    </w:p>
    <w:p>
      <w:pPr>
        <w:adjustRightInd w:val="0"/>
        <w:snapToGrid w:val="0"/>
        <w:spacing w:line="360" w:lineRule="auto"/>
        <w:ind w:firstLine="48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旨在培养系统掌握管理学、经济学、社会学与心理学等学科基础理论；了解我国经济社会宏观政策和国内外人力资源管理与开发的新动态和新趋势；熟悉人力资源规划、工作分析、人员招聘、人员培训、生涯开发、薪酬管理、绩效管理以及劳动关系管理等技术和方法；具备一定的技术技能、人际技能与概念技能以及良好职业道德和敬业精神；能创造性运用人力资源管理的相关理论去分析、解决管理实践中的问题，并能够胜任各类企事业单位人力资源管理理论与实务工作的应用型专业人才。</w:t>
      </w:r>
    </w:p>
    <w:p>
      <w:pPr>
        <w:pStyle w:val="3"/>
        <w:adjustRightInd w:val="0"/>
        <w:snapToGrid w:val="0"/>
        <w:spacing w:before="0" w:after="0" w:line="360" w:lineRule="auto"/>
        <w:jc w:val="left"/>
        <w:rPr>
          <w:rFonts w:ascii="宋体" w:hAnsi="宋体"/>
          <w:sz w:val="28"/>
          <w:szCs w:val="28"/>
        </w:rPr>
      </w:pPr>
      <w:bookmarkStart w:id="12" w:name="_Toc160210521"/>
      <w:r>
        <w:rPr>
          <w:rFonts w:ascii="宋体" w:hAnsi="宋体"/>
          <w:sz w:val="28"/>
          <w:szCs w:val="28"/>
        </w:rPr>
        <w:t>2.毕业要求</w:t>
      </w:r>
      <w:bookmarkEnd w:id="12"/>
    </w:p>
    <w:p>
      <w:pPr>
        <w:adjustRightInd w:val="0"/>
        <w:snapToGrid w:val="0"/>
        <w:spacing w:line="360" w:lineRule="auto"/>
        <w:ind w:firstLine="48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在学生学满四年毕业时，完成各项毕业要求指标的达成度评价，根据各项毕业要求达成情况评价值，判定本届学生对于毕业要求的达成情况。本专业设置了明确、公开的毕业要求，在毕业设计（论文）选题方面，</w:t>
      </w:r>
      <w:r>
        <w:rPr>
          <w:rFonts w:cs="Times New Roman"/>
          <w:color w:val="000000" w:themeColor="text1"/>
          <w14:textFill>
            <w14:solidFill>
              <w14:schemeClr w14:val="tx1"/>
            </w14:solidFill>
          </w14:textFill>
        </w:rPr>
        <w:t>100%来源于生产实际课题，选题经过校院两级严格把关，合格率百分之百。毕业设计（论文）指导方面，通常本专业老师每届指导学生数为</w:t>
      </w:r>
      <w:r>
        <w:rPr>
          <w:rFonts w:hint="eastAsia" w:cs="Times New Roman"/>
          <w:color w:val="000000" w:themeColor="text1"/>
          <w14:textFill>
            <w14:solidFill>
              <w14:schemeClr w14:val="tx1"/>
            </w14:solidFill>
          </w14:textFill>
        </w:rPr>
        <w:t>4</w:t>
      </w:r>
      <w:r>
        <w:rPr>
          <w:rFonts w:cs="Times New Roman"/>
          <w:color w:val="000000" w:themeColor="text1"/>
          <w14:textFill>
            <w14:solidFill>
              <w14:schemeClr w14:val="tx1"/>
            </w14:solidFill>
          </w14:textFill>
        </w:rPr>
        <w:t>-6人左右，并不断优化专业教师指导毕业论文的学生人数；严格要求指导教师每周至少与学生见面交流1次以上，学生每周填写毕业论文指导记录本，教师签字并存入毕业论文档案袋。毕业设计（论文）质量方面，学校、学院两</w:t>
      </w:r>
      <w:r>
        <w:rPr>
          <w:rFonts w:hint="eastAsia" w:cs="Times New Roman"/>
          <w:color w:val="000000" w:themeColor="text1"/>
          <w14:textFill>
            <w14:solidFill>
              <w14:schemeClr w14:val="tx1"/>
            </w14:solidFill>
          </w14:textFill>
        </w:rPr>
        <w:t>级单位管理负责制，从选题开始进行审核，论文指导过程中，学院和学校采取初期检查、中期检查和学院答辩预审后才能进入最终答辩程序，答辩通过后整套论文资料全部归档。</w:t>
      </w:r>
    </w:p>
    <w:p>
      <w:pPr>
        <w:pStyle w:val="3"/>
        <w:adjustRightInd w:val="0"/>
        <w:snapToGrid w:val="0"/>
        <w:spacing w:before="0" w:after="0" w:line="360" w:lineRule="auto"/>
        <w:jc w:val="left"/>
        <w:rPr>
          <w:rFonts w:ascii="宋体" w:hAnsi="宋体"/>
          <w:sz w:val="28"/>
          <w:szCs w:val="28"/>
        </w:rPr>
      </w:pPr>
      <w:bookmarkStart w:id="13" w:name="_Toc160210522"/>
      <w:r>
        <w:rPr>
          <w:rFonts w:ascii="宋体" w:hAnsi="宋体"/>
          <w:sz w:val="28"/>
          <w:szCs w:val="28"/>
        </w:rPr>
        <w:t>3.培养情况</w:t>
      </w:r>
      <w:bookmarkEnd w:id="13"/>
      <w:r>
        <w:rPr>
          <w:rFonts w:ascii="宋体" w:hAnsi="宋体"/>
          <w:sz w:val="28"/>
          <w:szCs w:val="28"/>
        </w:rPr>
        <w:t xml:space="preserve"> </w:t>
      </w:r>
    </w:p>
    <w:p>
      <w:pPr>
        <w:pStyle w:val="4"/>
        <w:adjustRightInd w:val="0"/>
        <w:snapToGrid w:val="0"/>
        <w:spacing w:before="0" w:after="0" w:line="360" w:lineRule="auto"/>
        <w:rPr>
          <w:rFonts w:ascii="宋体" w:hAnsi="宋体" w:eastAsia="宋体" w:cs="Times New Roman"/>
          <w:sz w:val="24"/>
          <w:szCs w:val="24"/>
        </w:rPr>
      </w:pPr>
      <w:bookmarkStart w:id="14" w:name="_Toc160210523"/>
      <w:r>
        <w:rPr>
          <w:rFonts w:ascii="宋体" w:hAnsi="宋体" w:eastAsia="宋体" w:cs="Times New Roman"/>
          <w:sz w:val="24"/>
          <w:szCs w:val="24"/>
        </w:rPr>
        <w:t>3.1专业建设情况</w:t>
      </w:r>
      <w:bookmarkEnd w:id="14"/>
    </w:p>
    <w:p>
      <w:pPr>
        <w:adjustRightInd w:val="0"/>
        <w:snapToGrid w:val="0"/>
        <w:spacing w:line="360" w:lineRule="auto"/>
        <w:ind w:firstLine="480" w:firstLineChars="200"/>
      </w:pPr>
      <w:r>
        <w:rPr>
          <w:rFonts w:hint="eastAsia"/>
        </w:rPr>
        <w:t>专业贯彻落实教育部《高等学校课程思政建设指导纲要》、《普通高等学校本科专业类教学质量国家标准》等文件精神，坚持以社会主义核心价值观为引领，秉持“价值塑造、知识传授和能力培养”三位一体，落实立德树人根本任务，结合商科国际认证要求，主动对接现代产业要求，服务上海经济社会发展，坚持“注重素质、培养能力、强化基础、拓宽专业”的办学指导思想，彰显课程体系的育人功能。在坚实、广博的管理教育基础上，构建“德、智、体、美、劳”全面培养的课程体系。力求培养学生了解我国经济社会宏观政策和国内外人力资源管理与开发的新动态和新趋势；能创造性运用相关理论去分析、解决管理实践中的问题，并具有良好职业道德和敬业精神；熟知现代制造业与服务业发展规律及其对人力资源管理相关工作的要求；掌握人力资源开发和管理的基本理论、基本知识；能够胜任在各类企事业单位独立从事人力资源管理职能的方案设计、操作和实施的要求；具备现代管理技能和领导力，具有国际视野、创新精神、实践能力和具有较强工程教育背景的，能够担当民族复兴大任的高素质工程应用型人才；能适应经济社会发展需要，并能够胜任各类企事业单位人力资源管理理论与实务工作的应用型专业人才。</w:t>
      </w:r>
    </w:p>
    <w:p>
      <w:pPr>
        <w:adjustRightInd w:val="0"/>
        <w:snapToGrid w:val="0"/>
        <w:spacing w:line="360" w:lineRule="auto"/>
        <w:ind w:firstLine="480" w:firstLineChars="200"/>
      </w:pPr>
      <w:r>
        <w:rPr>
          <w:rFonts w:hint="eastAsia"/>
        </w:rPr>
        <w:t>专业紧密对接上海经济与社会发展的需要，将人才培养深深地扎根于地方经济的土壤中，培养熟知经济与管理的基本理论，掌握人力资源管理知识结构与技能，熟悉现代产业发展规律，面向各类企事业单位，在不同文化背景下从事人力资源管理的应用型人才。建设思路清晰、目标明确、有贴合实际的建设措施。在人才培养的建设规划上，打造“平台化、流程化、模块化”人才培养模式，以“厚基础、宽平台、精内容、重实践、提素养”为指导原则，将知识体系的系统化与人才培养的模块化有机融合，从公共基础知识、学科基础知识、专业知识、实践锻炼</w:t>
      </w:r>
      <w:r>
        <w:t>4个方面进行模块化教</w:t>
      </w:r>
      <w:r>
        <w:rPr>
          <w:rFonts w:hint="eastAsia"/>
        </w:rPr>
        <w:t>学，通过管理案例教学、实验教学、管理模拟及社会实践活动，使学生全面接受人力资源管理方法与技巧方面的综合训练，既精准对接企业人力资源管理实务的需求，又满足学生的个性化发展的需要。</w:t>
      </w:r>
    </w:p>
    <w:p>
      <w:pPr>
        <w:pStyle w:val="4"/>
        <w:adjustRightInd w:val="0"/>
        <w:snapToGrid w:val="0"/>
        <w:spacing w:before="0" w:after="0" w:line="360" w:lineRule="auto"/>
        <w:rPr>
          <w:rFonts w:ascii="宋体" w:hAnsi="宋体" w:eastAsia="宋体" w:cs="Times New Roman"/>
          <w:sz w:val="24"/>
          <w:szCs w:val="24"/>
        </w:rPr>
      </w:pPr>
      <w:bookmarkStart w:id="15" w:name="_Toc160210524"/>
      <w:r>
        <w:rPr>
          <w:rFonts w:ascii="宋体" w:hAnsi="宋体" w:eastAsia="宋体" w:cs="Times New Roman"/>
          <w:sz w:val="24"/>
          <w:szCs w:val="24"/>
        </w:rPr>
        <w:t>3.2专业教学计划</w:t>
      </w:r>
      <w:bookmarkEnd w:id="15"/>
    </w:p>
    <w:p>
      <w:pPr>
        <w:shd w:val="clear" w:color="auto" w:fill="FFFFFF"/>
        <w:adjustRightInd w:val="0"/>
        <w:snapToGrid w:val="0"/>
        <w:spacing w:line="360" w:lineRule="auto"/>
        <w:ind w:firstLine="48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专业要求每门任课教师开课前必须要备好教学大纲、教学计划表和教学方案，其中教学大纲和教学计划表每学期开课前必须向教务处提交备案。首次开课的教师必须将这些基本教学文件交由学院教授审核，审核通过后才能上交教务处，并且在授课期间严格按照教学计划表的进度和内容安排执行。</w:t>
      </w:r>
    </w:p>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 xml:space="preserve">表2 </w:t>
      </w:r>
      <w:r>
        <w:rPr>
          <w:rFonts w:ascii="Times New Roman" w:hAnsi="Times New Roman" w:eastAsia="仿宋" w:cs="Times New Roman"/>
          <w:kern w:val="2"/>
        </w:rPr>
        <w:t>专业教学计划情况</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32"/>
              <w:spacing w:before="111" w:beforeAutospacing="0" w:after="0" w:afterAutospacing="0"/>
              <w:jc w:val="center"/>
            </w:pPr>
            <w:r>
              <w:rPr>
                <w:rFonts w:hint="eastAsia"/>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hint="eastAsia"/>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32"/>
              <w:jc w:val="center"/>
            </w:pPr>
            <w:bookmarkStart w:id="16" w:name="OLE_LINK10"/>
            <w:r>
              <w:rPr>
                <w:rFonts w:hint="eastAsia"/>
                <w:sz w:val="21"/>
                <w:szCs w:val="22"/>
              </w:rPr>
              <w:t>理论教学</w:t>
            </w:r>
            <w:bookmarkEnd w:id="16"/>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2042</w:t>
            </w:r>
            <w:bookmarkStart w:id="17" w:name="OLE_LINK8"/>
            <w:bookmarkEnd w:id="17"/>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59.99</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118.63</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74.61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hint="eastAsia"/>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1362</w:t>
            </w:r>
            <w:bookmarkStart w:id="18" w:name="OLE_LINK9"/>
            <w:bookmarkEnd w:id="1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40.01</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6.37</w:t>
            </w:r>
            <w:bookmarkStart w:id="19" w:name="OLE_LINK11"/>
            <w:bookmarkEnd w:id="19"/>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hint="eastAsia"/>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2"/>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30</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18.87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hint="eastAsia"/>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2"/>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3404</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2"/>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159</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32"/>
              <w:spacing w:before="51" w:beforeAutospacing="0" w:after="0" w:afterAutospacing="0"/>
              <w:jc w:val="center"/>
            </w:pPr>
            <w:r>
              <w:rPr>
                <w:rFonts w:ascii="Times New Roman" w:hAnsi="Noto Sans Mono CJK JP Regular" w:cs="Noto Sans Mono CJK JP Regular"/>
                <w:b/>
                <w:sz w:val="21"/>
                <w:szCs w:val="22"/>
              </w:rPr>
              <w:t>--</w:t>
            </w:r>
          </w:p>
        </w:tc>
      </w:tr>
    </w:tbl>
    <w:p>
      <w:pPr>
        <w:shd w:val="clear" w:color="auto" w:fill="FFFFFF"/>
        <w:adjustRightInd w:val="0"/>
        <w:snapToGrid w:val="0"/>
        <w:spacing w:before="240"/>
        <w:ind w:firstLine="2880" w:firstLineChars="1200"/>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表3</w:t>
      </w:r>
      <w:r>
        <w:rPr>
          <w:rFonts w:ascii="Times New Roman" w:hAnsi="Times New Roman" w:eastAsia="仿宋" w:cs="Times New Roman"/>
          <w:color w:val="000000" w:themeColor="text1"/>
          <w14:textFill>
            <w14:solidFill>
              <w14:schemeClr w14:val="tx1"/>
            </w14:solidFill>
          </w14:textFill>
        </w:rPr>
        <w:t xml:space="preserve"> </w:t>
      </w:r>
      <w:bookmarkStart w:id="20" w:name="OLE_LINK12"/>
      <w:r>
        <w:rPr>
          <w:rFonts w:ascii="Times New Roman" w:hAnsi="Times New Roman" w:eastAsia="仿宋" w:cs="Times New Roman"/>
          <w:color w:val="000000" w:themeColor="text1"/>
          <w14:textFill>
            <w14:solidFill>
              <w14:schemeClr w14:val="tx1"/>
            </w14:solidFill>
          </w14:textFill>
        </w:rPr>
        <w:t>课程实施情况</w:t>
      </w:r>
      <w:bookmarkEnd w:id="20"/>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32"/>
              <w:spacing w:before="111" w:beforeAutospacing="0" w:after="0" w:afterAutospacing="0"/>
              <w:jc w:val="center"/>
            </w:pPr>
            <w:r>
              <w:rPr>
                <w:rFonts w:hint="eastAsia"/>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hint="eastAsia"/>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hint="eastAsia"/>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bookmarkStart w:id="21" w:name="OLE_LINK13"/>
            <w:r>
              <w:rPr>
                <w:rFonts w:hint="eastAsia"/>
                <w:sz w:val="21"/>
                <w:szCs w:val="22"/>
              </w:rPr>
              <w:t>专业必修课</w:t>
            </w:r>
            <w:bookmarkEnd w:id="21"/>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3632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59.42</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227</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59.42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2480</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40.58</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155</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40.58</w:t>
            </w:r>
          </w:p>
        </w:tc>
      </w:tr>
    </w:tbl>
    <w:p>
      <w:pPr>
        <w:pStyle w:val="4"/>
        <w:adjustRightInd w:val="0"/>
        <w:snapToGrid w:val="0"/>
        <w:spacing w:before="0" w:after="0"/>
        <w:rPr>
          <w:rFonts w:ascii="宋体" w:hAnsi="宋体" w:eastAsia="宋体"/>
          <w:sz w:val="24"/>
          <w:szCs w:val="24"/>
        </w:rPr>
      </w:pPr>
      <w:bookmarkStart w:id="22" w:name="_Toc160210525"/>
      <w:r>
        <w:rPr>
          <w:rFonts w:ascii="宋体" w:hAnsi="宋体" w:eastAsia="宋体"/>
          <w:sz w:val="24"/>
          <w:szCs w:val="24"/>
        </w:rPr>
        <w:t>3.3</w:t>
      </w:r>
      <w:r>
        <w:rPr>
          <w:rFonts w:hint="eastAsia" w:ascii="宋体" w:hAnsi="宋体" w:eastAsia="宋体"/>
          <w:sz w:val="24"/>
          <w:szCs w:val="24"/>
        </w:rPr>
        <w:t>专业课开设情况</w:t>
      </w:r>
      <w:bookmarkEnd w:id="22"/>
    </w:p>
    <w:p>
      <w:pPr>
        <w:widowControl w:val="0"/>
        <w:adjustRightInd w:val="0"/>
        <w:snapToGrid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本专业开设</w:t>
      </w:r>
      <w:r>
        <w:rPr>
          <w:rFonts w:ascii="仿宋" w:hAnsi="仿宋" w:eastAsia="仿宋" w:cstheme="minorBidi"/>
          <w:kern w:val="2"/>
        </w:rPr>
        <w:t>48</w:t>
      </w:r>
      <w:r>
        <w:rPr>
          <w:rFonts w:hint="eastAsia" w:ascii="仿宋" w:hAnsi="仿宋" w:eastAsia="仿宋" w:cstheme="minorBidi"/>
          <w:kern w:val="2"/>
        </w:rPr>
        <w:t>门课，课程总门次1</w:t>
      </w:r>
      <w:r>
        <w:rPr>
          <w:rFonts w:ascii="仿宋" w:hAnsi="仿宋" w:eastAsia="仿宋" w:cstheme="minorBidi"/>
          <w:kern w:val="2"/>
        </w:rPr>
        <w:t>68</w:t>
      </w:r>
      <w:r>
        <w:rPr>
          <w:rFonts w:hint="eastAsia" w:ascii="仿宋" w:hAnsi="仿宋" w:eastAsia="仿宋" w:cstheme="minorBidi"/>
          <w:kern w:val="2"/>
        </w:rPr>
        <w:t>门，开设全外语课程门次数</w:t>
      </w:r>
      <w:r>
        <w:rPr>
          <w:rFonts w:ascii="仿宋" w:hAnsi="仿宋" w:eastAsia="仿宋" w:cstheme="minorBidi"/>
          <w:kern w:val="2"/>
        </w:rPr>
        <w:t>2</w:t>
      </w:r>
      <w:r>
        <w:rPr>
          <w:rFonts w:hint="eastAsia" w:ascii="仿宋" w:hAnsi="仿宋" w:eastAsia="仿宋" w:cstheme="minorBidi"/>
          <w:kern w:val="2"/>
        </w:rPr>
        <w:t>门。</w:t>
      </w:r>
    </w:p>
    <w:p>
      <w:pPr>
        <w:shd w:val="clear" w:color="auto" w:fill="FFFFFF"/>
        <w:adjustRightInd w:val="0"/>
        <w:snapToGrid w:val="0"/>
        <w:spacing w:before="240"/>
        <w:ind w:firstLine="3360" w:firstLineChars="1400"/>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表4</w:t>
      </w:r>
      <w:r>
        <w:rPr>
          <w:rFonts w:ascii="Times New Roman" w:hAnsi="Times New Roman" w:eastAsia="仿宋" w:cs="Times New Roman"/>
          <w:color w:val="000000" w:themeColor="text1"/>
          <w14:textFill>
            <w14:solidFill>
              <w14:schemeClr w14:val="tx1"/>
            </w14:solidFill>
          </w14:textFill>
        </w:rPr>
        <w:t>专业课开设情况</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项目</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课程门数</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课程总门次数</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rPr>
                <w:sz w:val="21"/>
                <w:szCs w:val="22"/>
              </w:rPr>
            </w:pPr>
            <w:r>
              <w:rPr>
                <w:rFonts w:hint="eastAsia"/>
                <w:sz w:val="21"/>
                <w:szCs w:val="22"/>
              </w:rPr>
              <w:t>开设全外语课程门次数</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2" w:type="dxa"/>
            <w:tcBorders>
              <w:top w:val="single" w:color="000000" w:sz="4" w:space="0"/>
              <w:left w:val="single" w:color="000000" w:sz="4" w:space="0"/>
              <w:bottom w:val="single" w:color="000000" w:sz="4" w:space="0"/>
              <w:right w:val="single" w:color="000000" w:sz="4" w:space="0"/>
            </w:tcBorders>
            <w:vAlign w:val="center"/>
          </w:tcPr>
          <w:p>
            <w:pPr>
              <w:pStyle w:val="32"/>
              <w:spacing w:before="0" w:beforeAutospacing="0" w:after="0" w:afterAutospacing="0"/>
              <w:jc w:val="center"/>
            </w:pPr>
            <w:r>
              <w:rPr>
                <w:rFonts w:hint="eastAsia"/>
                <w:sz w:val="21"/>
                <w:szCs w:val="22"/>
              </w:rPr>
              <w:t>开设双语课程门次数</w:t>
            </w:r>
          </w:p>
        </w:tc>
        <w:tc>
          <w:tcPr>
            <w:tcW w:w="2074" w:type="dxa"/>
            <w:tcBorders>
              <w:top w:val="single" w:color="000000" w:sz="4" w:space="0"/>
              <w:left w:val="single" w:color="000000" w:sz="4" w:space="0"/>
              <w:bottom w:val="single" w:color="000000" w:sz="4" w:space="0"/>
              <w:right w:val="single" w:color="000000" w:sz="4" w:space="0"/>
            </w:tcBorders>
            <w:vAlign w:val="center"/>
          </w:tcPr>
          <w:p>
            <w:pPr>
              <w:pStyle w:val="32"/>
              <w:jc w:val="center"/>
            </w:pPr>
            <w:r>
              <w:rPr>
                <w:rFonts w:ascii="Times New Roman" w:hAnsi="Noto Sans Mono CJK JP Regular" w:cs="Noto Sans Mono CJK JP Regular"/>
                <w:sz w:val="20"/>
                <w:szCs w:val="22"/>
              </w:rPr>
              <w:t>0</w:t>
            </w:r>
          </w:p>
        </w:tc>
      </w:tr>
    </w:tbl>
    <w:p>
      <w:pPr>
        <w:pStyle w:val="4"/>
        <w:spacing w:before="0" w:after="0" w:line="360" w:lineRule="auto"/>
        <w:rPr>
          <w:rFonts w:ascii="宋体" w:hAnsi="宋体" w:eastAsia="宋体"/>
          <w:sz w:val="24"/>
          <w:szCs w:val="24"/>
        </w:rPr>
      </w:pPr>
      <w:bookmarkStart w:id="23" w:name="_Toc160210526"/>
      <w:r>
        <w:rPr>
          <w:rFonts w:ascii="宋体" w:hAnsi="宋体" w:eastAsia="宋体"/>
          <w:sz w:val="24"/>
          <w:szCs w:val="24"/>
        </w:rPr>
        <w:t>3.4专业课课堂规模</w:t>
      </w:r>
      <w:bookmarkEnd w:id="23"/>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专业课平均规模，</w:t>
      </w:r>
      <w:r>
        <w:rPr>
          <w:rFonts w:ascii="仿宋" w:hAnsi="仿宋" w:eastAsia="仿宋" w:cstheme="minorBidi"/>
          <w:kern w:val="2"/>
        </w:rPr>
        <w:t>30</w:t>
      </w:r>
      <w:r>
        <w:rPr>
          <w:rFonts w:hint="eastAsia" w:ascii="仿宋" w:hAnsi="仿宋" w:eastAsia="仿宋" w:cstheme="minorBidi"/>
          <w:kern w:val="2"/>
        </w:rPr>
        <w:t>人及以下占比</w:t>
      </w:r>
      <w:r>
        <w:rPr>
          <w:rFonts w:ascii="仿宋" w:hAnsi="仿宋" w:eastAsia="仿宋" w:cstheme="minorBidi"/>
          <w:kern w:val="2"/>
        </w:rPr>
        <w:t>4.76%</w:t>
      </w:r>
      <w:r>
        <w:rPr>
          <w:rFonts w:hint="eastAsia" w:ascii="仿宋" w:hAnsi="仿宋" w:eastAsia="仿宋" w:cstheme="minorBidi"/>
          <w:kern w:val="2"/>
        </w:rPr>
        <w:t>，3</w:t>
      </w:r>
      <w:r>
        <w:rPr>
          <w:rFonts w:ascii="仿宋" w:hAnsi="仿宋" w:eastAsia="仿宋" w:cstheme="minorBidi"/>
          <w:kern w:val="2"/>
        </w:rPr>
        <w:t>1-60</w:t>
      </w:r>
      <w:r>
        <w:rPr>
          <w:rFonts w:hint="eastAsia" w:ascii="仿宋" w:hAnsi="仿宋" w:eastAsia="仿宋" w:cstheme="minorBidi"/>
          <w:kern w:val="2"/>
        </w:rPr>
        <w:t>人占比</w:t>
      </w:r>
      <w:r>
        <w:rPr>
          <w:rFonts w:ascii="仿宋" w:hAnsi="仿宋" w:eastAsia="仿宋" w:cstheme="minorBidi"/>
          <w:kern w:val="2"/>
        </w:rPr>
        <w:t>36.31%</w:t>
      </w:r>
      <w:r>
        <w:rPr>
          <w:rFonts w:hint="eastAsia" w:ascii="仿宋" w:hAnsi="仿宋" w:eastAsia="仿宋" w:cstheme="minorBidi"/>
          <w:kern w:val="2"/>
        </w:rPr>
        <w:t>，6</w:t>
      </w:r>
      <w:r>
        <w:rPr>
          <w:rFonts w:ascii="仿宋" w:hAnsi="仿宋" w:eastAsia="仿宋" w:cstheme="minorBidi"/>
          <w:kern w:val="2"/>
        </w:rPr>
        <w:t>1-90</w:t>
      </w:r>
      <w:r>
        <w:rPr>
          <w:rFonts w:hint="eastAsia" w:ascii="仿宋" w:hAnsi="仿宋" w:eastAsia="仿宋" w:cstheme="minorBidi"/>
          <w:kern w:val="2"/>
        </w:rPr>
        <w:t>人占比</w:t>
      </w:r>
      <w:r>
        <w:rPr>
          <w:rFonts w:ascii="仿宋" w:hAnsi="仿宋" w:eastAsia="仿宋" w:cstheme="minorBidi"/>
          <w:kern w:val="2"/>
        </w:rPr>
        <w:t>35.71%</w:t>
      </w:r>
      <w:r>
        <w:rPr>
          <w:rFonts w:hint="eastAsia" w:ascii="仿宋" w:hAnsi="仿宋" w:eastAsia="仿宋" w:cstheme="minorBidi"/>
          <w:kern w:val="2"/>
        </w:rPr>
        <w:t>，9</w:t>
      </w:r>
      <w:r>
        <w:rPr>
          <w:rFonts w:ascii="仿宋" w:hAnsi="仿宋" w:eastAsia="仿宋" w:cstheme="minorBidi"/>
          <w:kern w:val="2"/>
        </w:rPr>
        <w:t>0</w:t>
      </w:r>
      <w:r>
        <w:rPr>
          <w:rFonts w:hint="eastAsia" w:ascii="仿宋" w:hAnsi="仿宋" w:eastAsia="仿宋" w:cstheme="minorBidi"/>
          <w:kern w:val="2"/>
        </w:rPr>
        <w:t>人以上占比</w:t>
      </w:r>
      <w:r>
        <w:rPr>
          <w:rFonts w:ascii="仿宋" w:hAnsi="仿宋" w:eastAsia="仿宋" w:cstheme="minorBidi"/>
          <w:kern w:val="2"/>
        </w:rPr>
        <w:t>23.21%</w:t>
      </w:r>
      <w:r>
        <w:rPr>
          <w:rFonts w:hint="eastAsia" w:ascii="仿宋" w:hAnsi="仿宋" w:eastAsia="仿宋" w:cstheme="minorBidi"/>
          <w:kern w:val="2"/>
        </w:rPr>
        <w:t>。</w:t>
      </w:r>
    </w:p>
    <w:p>
      <w:pPr>
        <w:shd w:val="clear" w:color="auto" w:fill="FFFFFF"/>
        <w:adjustRightInd w:val="0"/>
        <w:snapToGrid w:val="0"/>
        <w:spacing w:before="240"/>
        <w:ind w:firstLine="3360" w:firstLineChars="1400"/>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表5</w:t>
      </w:r>
      <w:r>
        <w:rPr>
          <w:rFonts w:ascii="Times New Roman" w:hAnsi="Times New Roman" w:eastAsia="仿宋" w:cs="Times New Roman"/>
          <w:color w:val="000000" w:themeColor="text1"/>
          <w14:textFill>
            <w14:solidFill>
              <w14:schemeClr w14:val="tx1"/>
            </w14:solidFill>
          </w14:textFill>
        </w:rPr>
        <w:t xml:space="preserve"> 专业课课堂规模</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368"/>
        <w:gridCol w:w="1444"/>
        <w:gridCol w:w="1674"/>
        <w:gridCol w:w="167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p>
        </w:tc>
        <w:tc>
          <w:tcPr>
            <w:tcW w:w="803" w:type="pct"/>
            <w:vAlign w:val="center"/>
          </w:tcPr>
          <w:p>
            <w:pPr>
              <w:jc w:val="center"/>
              <w:rPr>
                <w:sz w:val="21"/>
                <w:szCs w:val="21"/>
              </w:rPr>
            </w:pPr>
            <w:r>
              <w:rPr>
                <w:rFonts w:hint="eastAsia"/>
                <w:sz w:val="21"/>
                <w:szCs w:val="21"/>
              </w:rPr>
              <w:t>平均规模</w:t>
            </w:r>
          </w:p>
        </w:tc>
        <w:tc>
          <w:tcPr>
            <w:tcW w:w="847" w:type="pct"/>
            <w:vAlign w:val="center"/>
          </w:tcPr>
          <w:p>
            <w:pPr>
              <w:jc w:val="center"/>
              <w:rPr>
                <w:sz w:val="21"/>
                <w:szCs w:val="21"/>
              </w:rPr>
            </w:pPr>
            <w:r>
              <w:rPr>
                <w:rFonts w:hint="eastAsia"/>
                <w:sz w:val="21"/>
                <w:szCs w:val="21"/>
              </w:rPr>
              <w:t>3</w:t>
            </w:r>
            <w:r>
              <w:rPr>
                <w:sz w:val="21"/>
                <w:szCs w:val="21"/>
              </w:rPr>
              <w:t>0</w:t>
            </w:r>
            <w:r>
              <w:rPr>
                <w:rFonts w:hint="eastAsia"/>
                <w:sz w:val="21"/>
                <w:szCs w:val="21"/>
              </w:rPr>
              <w:t>人及以下</w:t>
            </w:r>
          </w:p>
        </w:tc>
        <w:tc>
          <w:tcPr>
            <w:tcW w:w="982" w:type="pct"/>
            <w:vAlign w:val="center"/>
          </w:tcPr>
          <w:p>
            <w:pPr>
              <w:jc w:val="center"/>
              <w:rPr>
                <w:sz w:val="21"/>
                <w:szCs w:val="21"/>
              </w:rPr>
            </w:pPr>
            <w:r>
              <w:rPr>
                <w:rFonts w:hint="eastAsia"/>
                <w:sz w:val="21"/>
                <w:szCs w:val="21"/>
              </w:rPr>
              <w:t>3</w:t>
            </w:r>
            <w:r>
              <w:rPr>
                <w:sz w:val="21"/>
                <w:szCs w:val="21"/>
              </w:rPr>
              <w:t>1-60</w:t>
            </w:r>
            <w:r>
              <w:rPr>
                <w:rFonts w:hint="eastAsia"/>
                <w:sz w:val="21"/>
                <w:szCs w:val="21"/>
              </w:rPr>
              <w:t>人</w:t>
            </w:r>
          </w:p>
        </w:tc>
        <w:tc>
          <w:tcPr>
            <w:tcW w:w="982" w:type="pct"/>
            <w:vAlign w:val="center"/>
          </w:tcPr>
          <w:p>
            <w:pPr>
              <w:jc w:val="center"/>
              <w:rPr>
                <w:sz w:val="21"/>
                <w:szCs w:val="21"/>
              </w:rPr>
            </w:pPr>
            <w:r>
              <w:rPr>
                <w:sz w:val="21"/>
                <w:szCs w:val="21"/>
              </w:rPr>
              <w:t>61-90</w:t>
            </w:r>
            <w:r>
              <w:rPr>
                <w:rFonts w:hint="eastAsia"/>
                <w:sz w:val="21"/>
                <w:szCs w:val="21"/>
              </w:rPr>
              <w:t>人</w:t>
            </w:r>
          </w:p>
        </w:tc>
        <w:tc>
          <w:tcPr>
            <w:tcW w:w="847" w:type="pct"/>
            <w:vAlign w:val="center"/>
          </w:tcPr>
          <w:p>
            <w:pPr>
              <w:jc w:val="center"/>
              <w:rPr>
                <w:sz w:val="21"/>
                <w:szCs w:val="21"/>
              </w:rPr>
            </w:pPr>
            <w:r>
              <w:rPr>
                <w:sz w:val="21"/>
                <w:szCs w:val="21"/>
              </w:rPr>
              <w:t>90</w:t>
            </w:r>
            <w:r>
              <w:rPr>
                <w:rFonts w:hint="eastAsia"/>
                <w:sz w:val="21"/>
                <w:szCs w:val="21"/>
              </w:rPr>
              <w:t>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r>
              <w:rPr>
                <w:rFonts w:hint="eastAsia"/>
                <w:sz w:val="21"/>
                <w:szCs w:val="21"/>
              </w:rPr>
              <w:t>数量</w:t>
            </w:r>
          </w:p>
        </w:tc>
        <w:tc>
          <w:tcPr>
            <w:tcW w:w="803" w:type="pct"/>
            <w:vAlign w:val="center"/>
          </w:tcPr>
          <w:p>
            <w:pPr>
              <w:jc w:val="center"/>
              <w:rPr>
                <w:sz w:val="21"/>
                <w:szCs w:val="21"/>
              </w:rPr>
            </w:pPr>
            <w:r>
              <w:rPr>
                <w:sz w:val="21"/>
                <w:szCs w:val="21"/>
              </w:rPr>
              <w:t>72.13</w:t>
            </w:r>
          </w:p>
        </w:tc>
        <w:tc>
          <w:tcPr>
            <w:tcW w:w="847" w:type="pct"/>
            <w:vAlign w:val="center"/>
          </w:tcPr>
          <w:p>
            <w:pPr>
              <w:jc w:val="center"/>
              <w:rPr>
                <w:sz w:val="21"/>
                <w:szCs w:val="21"/>
              </w:rPr>
            </w:pPr>
            <w:r>
              <w:rPr>
                <w:sz w:val="21"/>
                <w:szCs w:val="21"/>
              </w:rPr>
              <w:t>8</w:t>
            </w:r>
            <w:bookmarkStart w:id="24" w:name="OLE_LINK14"/>
            <w:bookmarkEnd w:id="24"/>
          </w:p>
        </w:tc>
        <w:tc>
          <w:tcPr>
            <w:tcW w:w="982" w:type="pct"/>
            <w:vAlign w:val="center"/>
          </w:tcPr>
          <w:p>
            <w:pPr>
              <w:jc w:val="center"/>
              <w:rPr>
                <w:sz w:val="21"/>
                <w:szCs w:val="21"/>
              </w:rPr>
            </w:pPr>
            <w:r>
              <w:rPr>
                <w:sz w:val="21"/>
                <w:szCs w:val="21"/>
              </w:rPr>
              <w:t>61</w:t>
            </w:r>
            <w:bookmarkStart w:id="25" w:name="OLE_LINK15"/>
            <w:bookmarkEnd w:id="25"/>
          </w:p>
        </w:tc>
        <w:tc>
          <w:tcPr>
            <w:tcW w:w="982" w:type="pct"/>
            <w:vAlign w:val="center"/>
          </w:tcPr>
          <w:p>
            <w:pPr>
              <w:jc w:val="center"/>
              <w:rPr>
                <w:sz w:val="21"/>
                <w:szCs w:val="21"/>
              </w:rPr>
            </w:pPr>
            <w:r>
              <w:rPr>
                <w:sz w:val="21"/>
                <w:szCs w:val="21"/>
              </w:rPr>
              <w:t>60</w:t>
            </w:r>
          </w:p>
        </w:tc>
        <w:tc>
          <w:tcPr>
            <w:tcW w:w="847" w:type="pct"/>
            <w:vAlign w:val="center"/>
          </w:tcPr>
          <w:p>
            <w:pPr>
              <w:jc w:val="center"/>
              <w:rPr>
                <w:sz w:val="21"/>
                <w:szCs w:val="21"/>
              </w:rPr>
            </w:pPr>
            <w:r>
              <w:rPr>
                <w:sz w:val="21"/>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r>
              <w:rPr>
                <w:rFonts w:hint="eastAsia"/>
                <w:sz w:val="21"/>
                <w:szCs w:val="21"/>
              </w:rPr>
              <w:t>比例（%）</w:t>
            </w:r>
          </w:p>
        </w:tc>
        <w:tc>
          <w:tcPr>
            <w:tcW w:w="803" w:type="pct"/>
            <w:vAlign w:val="center"/>
          </w:tcPr>
          <w:p>
            <w:pPr>
              <w:jc w:val="center"/>
              <w:rPr>
                <w:sz w:val="21"/>
                <w:szCs w:val="21"/>
              </w:rPr>
            </w:pPr>
            <w:r>
              <w:rPr>
                <w:rFonts w:hint="eastAsia"/>
                <w:sz w:val="21"/>
                <w:szCs w:val="21"/>
              </w:rPr>
              <w:t>/</w:t>
            </w:r>
          </w:p>
        </w:tc>
        <w:tc>
          <w:tcPr>
            <w:tcW w:w="847" w:type="pct"/>
            <w:vAlign w:val="center"/>
          </w:tcPr>
          <w:p>
            <w:pPr>
              <w:jc w:val="center"/>
              <w:rPr>
                <w:sz w:val="21"/>
                <w:szCs w:val="21"/>
              </w:rPr>
            </w:pPr>
            <w:r>
              <w:rPr>
                <w:sz w:val="21"/>
                <w:szCs w:val="21"/>
              </w:rPr>
              <w:t>4.76</w:t>
            </w:r>
          </w:p>
        </w:tc>
        <w:tc>
          <w:tcPr>
            <w:tcW w:w="982" w:type="pct"/>
            <w:vAlign w:val="center"/>
          </w:tcPr>
          <w:p>
            <w:pPr>
              <w:jc w:val="center"/>
              <w:rPr>
                <w:sz w:val="21"/>
                <w:szCs w:val="21"/>
              </w:rPr>
            </w:pPr>
            <w:r>
              <w:rPr>
                <w:sz w:val="21"/>
                <w:szCs w:val="21"/>
              </w:rPr>
              <w:t>36.31</w:t>
            </w:r>
            <w:bookmarkStart w:id="26" w:name="OLE_LINK16"/>
            <w:bookmarkEnd w:id="26"/>
          </w:p>
        </w:tc>
        <w:tc>
          <w:tcPr>
            <w:tcW w:w="982" w:type="pct"/>
            <w:vAlign w:val="center"/>
          </w:tcPr>
          <w:p>
            <w:pPr>
              <w:jc w:val="center"/>
              <w:rPr>
                <w:sz w:val="21"/>
                <w:szCs w:val="21"/>
              </w:rPr>
            </w:pPr>
            <w:bookmarkStart w:id="27" w:name="_Hlk160204978"/>
            <w:r>
              <w:rPr>
                <w:sz w:val="21"/>
                <w:szCs w:val="21"/>
              </w:rPr>
              <w:t>35.71</w:t>
            </w:r>
            <w:bookmarkEnd w:id="27"/>
          </w:p>
        </w:tc>
        <w:tc>
          <w:tcPr>
            <w:tcW w:w="847" w:type="pct"/>
            <w:vAlign w:val="center"/>
          </w:tcPr>
          <w:p>
            <w:pPr>
              <w:jc w:val="center"/>
              <w:rPr>
                <w:sz w:val="21"/>
                <w:szCs w:val="21"/>
              </w:rPr>
            </w:pPr>
            <w:bookmarkStart w:id="28" w:name="_Hlk160204984"/>
            <w:r>
              <w:rPr>
                <w:sz w:val="21"/>
                <w:szCs w:val="21"/>
              </w:rPr>
              <w:t>23.21</w:t>
            </w:r>
            <w:bookmarkEnd w:id="28"/>
            <w:bookmarkStart w:id="29" w:name="OLE_LINK17"/>
            <w:bookmarkEnd w:id="29"/>
          </w:p>
        </w:tc>
      </w:tr>
    </w:tbl>
    <w:p>
      <w:pPr>
        <w:pStyle w:val="4"/>
        <w:adjustRightInd w:val="0"/>
        <w:snapToGrid w:val="0"/>
        <w:spacing w:before="0" w:after="0" w:line="360" w:lineRule="auto"/>
        <w:rPr>
          <w:rFonts w:ascii="宋体" w:hAnsi="宋体" w:eastAsia="宋体"/>
          <w:sz w:val="24"/>
          <w:szCs w:val="24"/>
        </w:rPr>
      </w:pPr>
      <w:bookmarkStart w:id="30" w:name="_Toc160210527"/>
      <w:r>
        <w:rPr>
          <w:rFonts w:ascii="宋体" w:hAnsi="宋体" w:eastAsia="宋体"/>
          <w:sz w:val="24"/>
          <w:szCs w:val="24"/>
        </w:rPr>
        <w:t>3.5专业的核心课程情况</w:t>
      </w:r>
      <w:bookmarkEnd w:id="30"/>
    </w:p>
    <w:p>
      <w:pPr>
        <w:adjustRightInd w:val="0"/>
        <w:snapToGrid w:val="0"/>
        <w:spacing w:line="360" w:lineRule="auto"/>
        <w:ind w:firstLine="480" w:firstLineChars="200"/>
      </w:pPr>
      <w:r>
        <w:rPr>
          <w:rFonts w:hint="eastAsia" w:cstheme="minorBidi"/>
          <w:kern w:val="2"/>
        </w:rPr>
        <w:t>专业的核心课程有：</w:t>
      </w:r>
      <w:r>
        <w:t>创业学</w:t>
      </w:r>
      <w:r>
        <w:rPr>
          <w:rFonts w:hint="eastAsia" w:cstheme="minorBidi"/>
          <w:kern w:val="2"/>
        </w:rPr>
        <w:t>，</w:t>
      </w:r>
      <w:r>
        <w:t>运营管理</w:t>
      </w:r>
      <w:r>
        <w:rPr>
          <w:rFonts w:hint="eastAsia" w:cstheme="minorBidi"/>
          <w:kern w:val="2"/>
        </w:rPr>
        <w:t>，</w:t>
      </w:r>
      <w:r>
        <w:t>管理学</w:t>
      </w:r>
      <w:r>
        <w:rPr>
          <w:rFonts w:hint="eastAsia" w:cstheme="minorBidi"/>
          <w:kern w:val="2"/>
        </w:rPr>
        <w:t>，</w:t>
      </w:r>
      <w:r>
        <w:t>人力资源管理</w:t>
      </w:r>
      <w:r>
        <w:rPr>
          <w:rFonts w:hint="eastAsia" w:cstheme="minorBidi"/>
          <w:kern w:val="2"/>
        </w:rPr>
        <w:t>，</w:t>
      </w:r>
      <w:r>
        <w:t>组织行为学</w:t>
      </w:r>
      <w:r>
        <w:rPr>
          <w:rFonts w:hint="eastAsia" w:cstheme="minorBidi"/>
          <w:kern w:val="2"/>
        </w:rPr>
        <w:t>，</w:t>
      </w:r>
      <w:r>
        <w:t>市场营销学</w:t>
      </w:r>
      <w:r>
        <w:rPr>
          <w:rFonts w:hint="eastAsia" w:cstheme="minorBidi"/>
          <w:kern w:val="2"/>
        </w:rPr>
        <w:t>，</w:t>
      </w:r>
      <w:r>
        <w:t>财务管理</w:t>
      </w:r>
      <w:r>
        <w:rPr>
          <w:rFonts w:hint="eastAsia" w:cstheme="minorBidi"/>
          <w:kern w:val="2"/>
        </w:rPr>
        <w:t>，</w:t>
      </w:r>
      <w:r>
        <w:t>会计学</w:t>
      </w:r>
      <w:r>
        <w:rPr>
          <w:rFonts w:hint="eastAsia" w:cstheme="minorBidi"/>
          <w:kern w:val="2"/>
        </w:rPr>
        <w:t>，</w:t>
      </w:r>
      <w:r>
        <w:t>公司治理</w:t>
      </w:r>
      <w:r>
        <w:rPr>
          <w:rFonts w:hint="eastAsia" w:cstheme="minorBidi"/>
          <w:kern w:val="2"/>
        </w:rPr>
        <w:t>，</w:t>
      </w:r>
      <w:r>
        <w:t>薪酬管理</w:t>
      </w:r>
      <w:r>
        <w:rPr>
          <w:rFonts w:hint="eastAsia" w:cstheme="minorBidi"/>
          <w:kern w:val="2"/>
        </w:rPr>
        <w:t>，</w:t>
      </w:r>
      <w:r>
        <w:t>国际人力资源管理（全英语）</w:t>
      </w:r>
      <w:r>
        <w:rPr>
          <w:rFonts w:hint="eastAsia" w:cstheme="minorBidi"/>
          <w:kern w:val="2"/>
        </w:rPr>
        <w:t>，</w:t>
      </w:r>
      <w:r>
        <w:t>员工关系管理</w:t>
      </w:r>
      <w:r>
        <w:rPr>
          <w:rFonts w:hint="eastAsia"/>
        </w:rPr>
        <w:t>，</w:t>
      </w:r>
      <w:r>
        <w:t>工作分析与工作设计</w:t>
      </w:r>
      <w:r>
        <w:rPr>
          <w:rFonts w:hint="eastAsia"/>
        </w:rPr>
        <w:t>，</w:t>
      </w:r>
      <w:r>
        <w:t>绩效管理</w:t>
      </w:r>
      <w:r>
        <w:rPr>
          <w:rFonts w:hint="eastAsia"/>
        </w:rPr>
        <w:t>，</w:t>
      </w:r>
      <w:r>
        <w:t>职业生涯规划与管理</w:t>
      </w:r>
      <w:r>
        <w:rPr>
          <w:rFonts w:hint="eastAsia"/>
        </w:rPr>
        <w:t>，</w:t>
      </w:r>
      <w:r>
        <w:t>人力资源培训与开发（全英语）</w:t>
      </w:r>
      <w:r>
        <w:rPr>
          <w:rFonts w:hint="eastAsia"/>
        </w:rPr>
        <w:t>，</w:t>
      </w:r>
      <w:r>
        <w:t>人力资源测评与选拔</w:t>
      </w:r>
      <w:r>
        <w:rPr>
          <w:rFonts w:hint="eastAsia"/>
        </w:rPr>
        <w:t>，</w:t>
      </w:r>
      <w:r>
        <w:t>战略管理</w:t>
      </w:r>
      <w:r>
        <w:rPr>
          <w:rFonts w:hint="eastAsia" w:cstheme="minorBidi"/>
          <w:kern w:val="2"/>
        </w:rPr>
        <w:t>。</w:t>
      </w:r>
    </w:p>
    <w:p>
      <w:pPr>
        <w:adjustRightInd w:val="0"/>
        <w:snapToGrid w:val="0"/>
        <w:spacing w:line="360" w:lineRule="auto"/>
        <w:ind w:firstLine="480" w:firstLineChars="200"/>
        <w:jc w:val="center"/>
      </w:pPr>
      <w:r>
        <w:rPr>
          <w:rFonts w:hint="eastAsia" w:ascii="Times New Roman" w:hAnsi="Times New Roman" w:eastAsia="仿宋" w:cs="Times New Roman"/>
          <w:color w:val="000000" w:themeColor="text1"/>
          <w14:textFill>
            <w14:solidFill>
              <w14:schemeClr w14:val="tx1"/>
            </w14:solidFill>
          </w14:textFill>
        </w:rPr>
        <w:t>表6</w:t>
      </w:r>
      <w:r>
        <w:rPr>
          <w:rFonts w:ascii="Times New Roman" w:hAnsi="Times New Roman" w:eastAsia="仿宋" w:cs="Times New Roman"/>
          <w:color w:val="000000" w:themeColor="text1"/>
          <w14:textFill>
            <w14:solidFill>
              <w14:schemeClr w14:val="tx1"/>
            </w14:solidFill>
          </w14:textFill>
        </w:rPr>
        <w:t xml:space="preserve"> 专业的核心课程情况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pPr>
            <w:r>
              <w:rPr>
                <w:rFonts w:hint="eastAsia"/>
                <w:sz w:val="21"/>
                <w:szCs w:val="22"/>
              </w:rPr>
              <w:t>课程名称</w:t>
            </w:r>
          </w:p>
        </w:tc>
        <w:tc>
          <w:tcPr>
            <w:tcW w:w="1185" w:type="dxa"/>
            <w:vAlign w:val="center"/>
          </w:tcPr>
          <w:p>
            <w:pPr>
              <w:jc w:val="center"/>
            </w:pPr>
            <w:r>
              <w:rPr>
                <w:rFonts w:hint="eastAsia"/>
                <w:sz w:val="21"/>
                <w:szCs w:val="22"/>
              </w:rPr>
              <w:t>课程号</w:t>
            </w:r>
          </w:p>
        </w:tc>
        <w:tc>
          <w:tcPr>
            <w:tcW w:w="1185" w:type="dxa"/>
            <w:vAlign w:val="center"/>
          </w:tcPr>
          <w:p>
            <w:pPr>
              <w:jc w:val="center"/>
            </w:pPr>
            <w:r>
              <w:rPr>
                <w:rFonts w:hint="eastAsia"/>
                <w:sz w:val="21"/>
                <w:szCs w:val="22"/>
              </w:rPr>
              <w:t>课程性质</w:t>
            </w:r>
          </w:p>
        </w:tc>
        <w:tc>
          <w:tcPr>
            <w:tcW w:w="1185" w:type="dxa"/>
            <w:vAlign w:val="center"/>
          </w:tcPr>
          <w:p>
            <w:pPr>
              <w:jc w:val="center"/>
            </w:pPr>
            <w:r>
              <w:rPr>
                <w:rFonts w:hint="eastAsia"/>
                <w:sz w:val="21"/>
                <w:szCs w:val="22"/>
              </w:rPr>
              <w:t>课程类别</w:t>
            </w:r>
          </w:p>
        </w:tc>
        <w:tc>
          <w:tcPr>
            <w:tcW w:w="1185" w:type="dxa"/>
            <w:vAlign w:val="center"/>
          </w:tcPr>
          <w:p>
            <w:pPr>
              <w:jc w:val="center"/>
            </w:pPr>
            <w:r>
              <w:rPr>
                <w:rFonts w:hint="eastAsia"/>
                <w:sz w:val="21"/>
                <w:szCs w:val="22"/>
              </w:rPr>
              <w:t>学分数</w:t>
            </w:r>
          </w:p>
        </w:tc>
        <w:tc>
          <w:tcPr>
            <w:tcW w:w="1185" w:type="dxa"/>
            <w:vAlign w:val="center"/>
          </w:tcPr>
          <w:p>
            <w:pPr>
              <w:jc w:val="center"/>
            </w:pPr>
            <w:r>
              <w:rPr>
                <w:rFonts w:hint="eastAsia"/>
                <w:sz w:val="21"/>
                <w:szCs w:val="22"/>
              </w:rPr>
              <w:t>学时数</w:t>
            </w:r>
          </w:p>
        </w:tc>
        <w:tc>
          <w:tcPr>
            <w:tcW w:w="1186" w:type="dxa"/>
            <w:vAlign w:val="center"/>
          </w:tcPr>
          <w:p>
            <w:pPr>
              <w:jc w:val="center"/>
            </w:pPr>
            <w:r>
              <w:rPr>
                <w:rFonts w:hint="eastAsia"/>
                <w:sz w:val="21"/>
                <w:szCs w:val="22"/>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szCs w:val="20"/>
              </w:rPr>
              <w:t>创业学</w:t>
            </w:r>
          </w:p>
        </w:tc>
        <w:tc>
          <w:tcPr>
            <w:tcW w:w="1185" w:type="dxa"/>
            <w:vAlign w:val="center"/>
          </w:tcPr>
          <w:p>
            <w:pPr>
              <w:jc w:val="center"/>
              <w:rPr>
                <w:sz w:val="20"/>
                <w:szCs w:val="20"/>
              </w:rPr>
            </w:pPr>
            <w:r>
              <w:rPr>
                <w:sz w:val="20"/>
                <w:szCs w:val="20"/>
              </w:rPr>
              <w:t>030008</w:t>
            </w:r>
          </w:p>
        </w:tc>
        <w:tc>
          <w:tcPr>
            <w:tcW w:w="1185" w:type="dxa"/>
            <w:vAlign w:val="center"/>
          </w:tcPr>
          <w:p>
            <w:pPr>
              <w:jc w:val="center"/>
              <w:rPr>
                <w:sz w:val="20"/>
                <w:szCs w:val="20"/>
              </w:rPr>
            </w:pPr>
            <w:r>
              <w:rPr>
                <w:sz w:val="20"/>
                <w:szCs w:val="20"/>
              </w:rPr>
              <w:t>理论课</w:t>
            </w:r>
          </w:p>
        </w:tc>
        <w:tc>
          <w:tcPr>
            <w:tcW w:w="1185" w:type="dxa"/>
            <w:vAlign w:val="center"/>
          </w:tcPr>
          <w:p>
            <w:pPr>
              <w:jc w:val="center"/>
              <w:rPr>
                <w:sz w:val="20"/>
                <w:szCs w:val="20"/>
              </w:rPr>
            </w:pPr>
            <w:r>
              <w:rPr>
                <w:sz w:val="20"/>
                <w:szCs w:val="20"/>
              </w:rPr>
              <w:t>专业选修课</w:t>
            </w:r>
          </w:p>
        </w:tc>
        <w:tc>
          <w:tcPr>
            <w:tcW w:w="1185" w:type="dxa"/>
            <w:vAlign w:val="center"/>
          </w:tcPr>
          <w:p>
            <w:pPr>
              <w:jc w:val="center"/>
              <w:rPr>
                <w:sz w:val="20"/>
                <w:szCs w:val="20"/>
              </w:rPr>
            </w:pPr>
            <w:r>
              <w:rPr>
                <w:sz w:val="20"/>
                <w:szCs w:val="20"/>
              </w:rPr>
              <w:t>2</w:t>
            </w:r>
          </w:p>
        </w:tc>
        <w:tc>
          <w:tcPr>
            <w:tcW w:w="1185" w:type="dxa"/>
            <w:vAlign w:val="center"/>
          </w:tcPr>
          <w:p>
            <w:pPr>
              <w:jc w:val="center"/>
              <w:rPr>
                <w:sz w:val="20"/>
                <w:szCs w:val="20"/>
              </w:rPr>
            </w:pPr>
            <w:r>
              <w:rPr>
                <w:sz w:val="20"/>
                <w:szCs w:val="20"/>
              </w:rPr>
              <w:t>32</w:t>
            </w:r>
          </w:p>
        </w:tc>
        <w:tc>
          <w:tcPr>
            <w:tcW w:w="1186" w:type="dxa"/>
            <w:vAlign w:val="center"/>
          </w:tcPr>
          <w:p>
            <w:pPr>
              <w:jc w:val="center"/>
              <w:rPr>
                <w:sz w:val="20"/>
                <w:szCs w:val="20"/>
              </w:rPr>
            </w:pPr>
            <w:r>
              <w:rPr>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运营管理</w:t>
            </w:r>
          </w:p>
        </w:tc>
        <w:tc>
          <w:tcPr>
            <w:tcW w:w="1185" w:type="dxa"/>
            <w:vAlign w:val="center"/>
          </w:tcPr>
          <w:p>
            <w:pPr>
              <w:jc w:val="center"/>
              <w:rPr>
                <w:sz w:val="20"/>
                <w:szCs w:val="20"/>
              </w:rPr>
            </w:pPr>
            <w:r>
              <w:rPr>
                <w:sz w:val="20"/>
              </w:rPr>
              <w:t>030056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管理学</w:t>
            </w:r>
          </w:p>
        </w:tc>
        <w:tc>
          <w:tcPr>
            <w:tcW w:w="1185" w:type="dxa"/>
            <w:vAlign w:val="center"/>
          </w:tcPr>
          <w:p>
            <w:pPr>
              <w:jc w:val="center"/>
              <w:rPr>
                <w:sz w:val="20"/>
                <w:szCs w:val="20"/>
              </w:rPr>
            </w:pPr>
            <w:r>
              <w:rPr>
                <w:sz w:val="20"/>
              </w:rPr>
              <w:t>030101</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人力资源管理</w:t>
            </w:r>
          </w:p>
        </w:tc>
        <w:tc>
          <w:tcPr>
            <w:tcW w:w="1185" w:type="dxa"/>
            <w:vAlign w:val="center"/>
          </w:tcPr>
          <w:p>
            <w:pPr>
              <w:jc w:val="center"/>
              <w:rPr>
                <w:sz w:val="20"/>
                <w:szCs w:val="20"/>
              </w:rPr>
            </w:pPr>
            <w:r>
              <w:rPr>
                <w:sz w:val="20"/>
              </w:rPr>
              <w:t>030102</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组织行为学</w:t>
            </w:r>
          </w:p>
        </w:tc>
        <w:tc>
          <w:tcPr>
            <w:tcW w:w="1185" w:type="dxa"/>
            <w:vAlign w:val="center"/>
          </w:tcPr>
          <w:p>
            <w:pPr>
              <w:jc w:val="center"/>
              <w:rPr>
                <w:sz w:val="20"/>
                <w:szCs w:val="20"/>
              </w:rPr>
            </w:pPr>
            <w:r>
              <w:rPr>
                <w:sz w:val="20"/>
              </w:rPr>
              <w:t>030103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市场营销学</w:t>
            </w:r>
          </w:p>
        </w:tc>
        <w:tc>
          <w:tcPr>
            <w:tcW w:w="1185" w:type="dxa"/>
            <w:vAlign w:val="center"/>
          </w:tcPr>
          <w:p>
            <w:pPr>
              <w:jc w:val="center"/>
              <w:rPr>
                <w:sz w:val="20"/>
                <w:szCs w:val="20"/>
              </w:rPr>
            </w:pPr>
            <w:r>
              <w:rPr>
                <w:sz w:val="20"/>
              </w:rPr>
              <w:t>030127</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财务管理</w:t>
            </w:r>
          </w:p>
        </w:tc>
        <w:tc>
          <w:tcPr>
            <w:tcW w:w="1185" w:type="dxa"/>
            <w:vAlign w:val="center"/>
          </w:tcPr>
          <w:p>
            <w:pPr>
              <w:jc w:val="center"/>
              <w:rPr>
                <w:sz w:val="20"/>
                <w:szCs w:val="20"/>
              </w:rPr>
            </w:pPr>
            <w:r>
              <w:rPr>
                <w:sz w:val="20"/>
              </w:rPr>
              <w:t>030268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会计学</w:t>
            </w:r>
          </w:p>
        </w:tc>
        <w:tc>
          <w:tcPr>
            <w:tcW w:w="1185" w:type="dxa"/>
            <w:vAlign w:val="center"/>
          </w:tcPr>
          <w:p>
            <w:pPr>
              <w:jc w:val="center"/>
              <w:rPr>
                <w:sz w:val="20"/>
                <w:szCs w:val="20"/>
              </w:rPr>
            </w:pPr>
            <w:r>
              <w:rPr>
                <w:sz w:val="20"/>
              </w:rPr>
              <w:t>030269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公司治理</w:t>
            </w:r>
          </w:p>
        </w:tc>
        <w:tc>
          <w:tcPr>
            <w:tcW w:w="1185" w:type="dxa"/>
            <w:vAlign w:val="center"/>
          </w:tcPr>
          <w:p>
            <w:pPr>
              <w:jc w:val="center"/>
              <w:rPr>
                <w:sz w:val="20"/>
                <w:szCs w:val="20"/>
              </w:rPr>
            </w:pPr>
            <w:r>
              <w:rPr>
                <w:sz w:val="20"/>
              </w:rPr>
              <w:t>030584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薪酬管理</w:t>
            </w:r>
          </w:p>
        </w:tc>
        <w:tc>
          <w:tcPr>
            <w:tcW w:w="1185" w:type="dxa"/>
            <w:vAlign w:val="center"/>
          </w:tcPr>
          <w:p>
            <w:pPr>
              <w:jc w:val="center"/>
              <w:rPr>
                <w:sz w:val="20"/>
                <w:szCs w:val="20"/>
              </w:rPr>
            </w:pPr>
            <w:r>
              <w:rPr>
                <w:sz w:val="20"/>
              </w:rPr>
              <w:t>030612</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国际人力资源管理（全英语）</w:t>
            </w:r>
          </w:p>
        </w:tc>
        <w:tc>
          <w:tcPr>
            <w:tcW w:w="1185" w:type="dxa"/>
            <w:vAlign w:val="center"/>
          </w:tcPr>
          <w:p>
            <w:pPr>
              <w:jc w:val="center"/>
              <w:rPr>
                <w:sz w:val="20"/>
                <w:szCs w:val="20"/>
              </w:rPr>
            </w:pPr>
            <w:r>
              <w:rPr>
                <w:sz w:val="20"/>
              </w:rPr>
              <w:t>030676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员工关系管理</w:t>
            </w:r>
          </w:p>
        </w:tc>
        <w:tc>
          <w:tcPr>
            <w:tcW w:w="1185" w:type="dxa"/>
            <w:vAlign w:val="center"/>
          </w:tcPr>
          <w:p>
            <w:pPr>
              <w:jc w:val="center"/>
              <w:rPr>
                <w:sz w:val="20"/>
                <w:szCs w:val="20"/>
              </w:rPr>
            </w:pPr>
            <w:r>
              <w:rPr>
                <w:sz w:val="20"/>
              </w:rPr>
              <w:t>030678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工作分析与工作设计</w:t>
            </w:r>
          </w:p>
        </w:tc>
        <w:tc>
          <w:tcPr>
            <w:tcW w:w="1185" w:type="dxa"/>
            <w:vAlign w:val="center"/>
          </w:tcPr>
          <w:p>
            <w:pPr>
              <w:jc w:val="center"/>
              <w:rPr>
                <w:sz w:val="20"/>
                <w:szCs w:val="20"/>
              </w:rPr>
            </w:pPr>
            <w:r>
              <w:rPr>
                <w:sz w:val="20"/>
              </w:rPr>
              <w:t>031143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绩效管理</w:t>
            </w:r>
          </w:p>
        </w:tc>
        <w:tc>
          <w:tcPr>
            <w:tcW w:w="1185" w:type="dxa"/>
            <w:vAlign w:val="center"/>
          </w:tcPr>
          <w:p>
            <w:pPr>
              <w:jc w:val="center"/>
              <w:rPr>
                <w:sz w:val="20"/>
                <w:szCs w:val="20"/>
              </w:rPr>
            </w:pPr>
            <w:r>
              <w:rPr>
                <w:sz w:val="20"/>
              </w:rPr>
              <w:t>032217</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职业生涯规划与管理</w:t>
            </w:r>
          </w:p>
        </w:tc>
        <w:tc>
          <w:tcPr>
            <w:tcW w:w="1185" w:type="dxa"/>
            <w:vAlign w:val="center"/>
          </w:tcPr>
          <w:p>
            <w:pPr>
              <w:jc w:val="center"/>
              <w:rPr>
                <w:sz w:val="20"/>
                <w:szCs w:val="20"/>
              </w:rPr>
            </w:pPr>
            <w:r>
              <w:rPr>
                <w:sz w:val="20"/>
              </w:rPr>
              <w:t>032218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人力资源培训与开发（全英语）</w:t>
            </w:r>
          </w:p>
        </w:tc>
        <w:tc>
          <w:tcPr>
            <w:tcW w:w="1185" w:type="dxa"/>
            <w:vAlign w:val="center"/>
          </w:tcPr>
          <w:p>
            <w:pPr>
              <w:jc w:val="center"/>
              <w:rPr>
                <w:sz w:val="20"/>
                <w:szCs w:val="20"/>
              </w:rPr>
            </w:pPr>
            <w:r>
              <w:rPr>
                <w:sz w:val="20"/>
              </w:rPr>
              <w:t>032253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人力资源测评与选拔</w:t>
            </w:r>
          </w:p>
        </w:tc>
        <w:tc>
          <w:tcPr>
            <w:tcW w:w="1185" w:type="dxa"/>
            <w:vAlign w:val="center"/>
          </w:tcPr>
          <w:p>
            <w:pPr>
              <w:jc w:val="center"/>
              <w:rPr>
                <w:sz w:val="20"/>
                <w:szCs w:val="20"/>
              </w:rPr>
            </w:pPr>
            <w:r>
              <w:rPr>
                <w:sz w:val="20"/>
              </w:rPr>
              <w:t>033180</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战略管理</w:t>
            </w:r>
          </w:p>
        </w:tc>
        <w:tc>
          <w:tcPr>
            <w:tcW w:w="1185" w:type="dxa"/>
            <w:vAlign w:val="center"/>
          </w:tcPr>
          <w:p>
            <w:pPr>
              <w:jc w:val="center"/>
              <w:rPr>
                <w:sz w:val="20"/>
                <w:szCs w:val="20"/>
              </w:rPr>
            </w:pPr>
            <w:r>
              <w:rPr>
                <w:sz w:val="20"/>
              </w:rPr>
              <w:t>033903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62.17</w:t>
            </w:r>
          </w:p>
        </w:tc>
      </w:tr>
    </w:tbl>
    <w:p>
      <w:pPr>
        <w:pStyle w:val="4"/>
        <w:adjustRightInd w:val="0"/>
        <w:snapToGrid w:val="0"/>
        <w:spacing w:before="0" w:after="0" w:line="360" w:lineRule="auto"/>
        <w:rPr>
          <w:rFonts w:ascii="宋体" w:hAnsi="宋体" w:eastAsia="宋体"/>
          <w:sz w:val="24"/>
          <w:szCs w:val="24"/>
        </w:rPr>
      </w:pPr>
      <w:bookmarkStart w:id="31" w:name="_Toc160210528"/>
      <w:r>
        <w:rPr>
          <w:rFonts w:ascii="宋体" w:hAnsi="宋体" w:eastAsia="宋体"/>
          <w:sz w:val="24"/>
          <w:szCs w:val="24"/>
        </w:rPr>
        <w:t>3.6实验教学情况</w:t>
      </w:r>
      <w:bookmarkEnd w:id="31"/>
    </w:p>
    <w:p>
      <w:pPr>
        <w:widowControl w:val="0"/>
        <w:adjustRightInd w:val="0"/>
        <w:snapToGrid w:val="0"/>
        <w:spacing w:line="360" w:lineRule="auto"/>
        <w:ind w:firstLine="480" w:firstLineChars="200"/>
        <w:rPr>
          <w:rFonts w:cstheme="minorBidi"/>
          <w:kern w:val="2"/>
        </w:rPr>
      </w:pPr>
      <w:r>
        <w:rPr>
          <w:rFonts w:hint="eastAsia" w:cstheme="minorBidi"/>
          <w:kern w:val="2"/>
        </w:rPr>
        <w:t>实验教学学分为</w:t>
      </w:r>
      <w:r>
        <w:rPr>
          <w:rFonts w:cstheme="minorBidi"/>
          <w:kern w:val="2"/>
        </w:rPr>
        <w:t>6.37</w:t>
      </w:r>
      <w:r>
        <w:rPr>
          <w:rFonts w:hint="eastAsia" w:cstheme="minorBidi"/>
          <w:kern w:val="2"/>
        </w:rPr>
        <w:t>，占总学分的</w:t>
      </w:r>
      <w:r>
        <w:rPr>
          <w:rFonts w:cs="Noto Sans Mono CJK JP Regular"/>
        </w:rPr>
        <w:t>4.01%</w:t>
      </w:r>
      <w:r>
        <w:rPr>
          <w:rFonts w:hint="eastAsia" w:cstheme="minorBidi"/>
          <w:kern w:val="2"/>
        </w:rPr>
        <w:t>。</w:t>
      </w:r>
    </w:p>
    <w:p>
      <w:pPr>
        <w:widowControl w:val="0"/>
        <w:spacing w:line="360" w:lineRule="auto"/>
        <w:ind w:firstLine="1440" w:firstLineChars="600"/>
        <w:jc w:val="center"/>
        <w:rPr>
          <w:rFonts w:ascii="仿宋" w:hAnsi="仿宋" w:eastAsia="仿宋" w:cstheme="minorBidi"/>
          <w:kern w:val="2"/>
        </w:rPr>
      </w:pPr>
      <w:r>
        <w:rPr>
          <w:rFonts w:hint="eastAsia" w:ascii="Times New Roman" w:hAnsi="Times New Roman" w:eastAsia="仿宋" w:cs="Times New Roman"/>
          <w:color w:val="000000" w:themeColor="text1"/>
          <w14:textFill>
            <w14:solidFill>
              <w14:schemeClr w14:val="tx1"/>
            </w14:solidFill>
          </w14:textFill>
        </w:rPr>
        <w:t>表7</w:t>
      </w:r>
      <w:r>
        <w:rPr>
          <w:rFonts w:ascii="Times New Roman" w:hAnsi="Times New Roman" w:eastAsia="仿宋" w:cs="Times New Roman"/>
          <w:color w:val="000000" w:themeColor="text1"/>
          <w14:textFill>
            <w14:solidFill>
              <w14:schemeClr w14:val="tx1"/>
            </w14:solidFill>
          </w14:textFill>
        </w:rPr>
        <w:t xml:space="preserve"> 实验教学情况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实验教学学分</w:t>
            </w:r>
          </w:p>
        </w:tc>
        <w:tc>
          <w:tcPr>
            <w:tcW w:w="4148" w:type="dxa"/>
            <w:vAlign w:val="center"/>
          </w:tcPr>
          <w:p>
            <w:pPr>
              <w:jc w:val="center"/>
              <w:rPr>
                <w:sz w:val="21"/>
                <w:szCs w:val="21"/>
              </w:rPr>
            </w:pPr>
            <w:r>
              <w:rPr>
                <w:rFonts w:cs="Noto Sans Mono CJK JP Regular"/>
                <w:sz w:val="21"/>
                <w:szCs w:val="21"/>
              </w:rPr>
              <w:t>6.37</w:t>
            </w:r>
            <w:bookmarkStart w:id="32" w:name="OLE_LINK18"/>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占总学分（％）</w:t>
            </w:r>
          </w:p>
        </w:tc>
        <w:tc>
          <w:tcPr>
            <w:tcW w:w="4148" w:type="dxa"/>
            <w:vAlign w:val="center"/>
          </w:tcPr>
          <w:p>
            <w:pPr>
              <w:jc w:val="center"/>
              <w:rPr>
                <w:sz w:val="21"/>
                <w:szCs w:val="21"/>
              </w:rPr>
            </w:pPr>
            <w:r>
              <w:rPr>
                <w:rFonts w:cs="Noto Sans Mono CJK JP Regular"/>
                <w:sz w:val="21"/>
                <w:szCs w:val="21"/>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学年内开设实验课门数</w:t>
            </w:r>
          </w:p>
        </w:tc>
        <w:tc>
          <w:tcPr>
            <w:tcW w:w="4148" w:type="dxa"/>
            <w:vAlign w:val="center"/>
          </w:tcPr>
          <w:p>
            <w:pPr>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实验课程平均课堂规模</w:t>
            </w:r>
          </w:p>
        </w:tc>
        <w:tc>
          <w:tcPr>
            <w:tcW w:w="4148" w:type="dxa"/>
            <w:vAlign w:val="center"/>
          </w:tcPr>
          <w:p>
            <w:pPr>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专业实验教学仪器设备值</w:t>
            </w:r>
          </w:p>
        </w:tc>
        <w:tc>
          <w:tcPr>
            <w:tcW w:w="4148" w:type="dxa"/>
            <w:vAlign w:val="center"/>
          </w:tcPr>
          <w:p>
            <w:pPr>
              <w:jc w:val="center"/>
              <w:rPr>
                <w:sz w:val="21"/>
                <w:szCs w:val="21"/>
              </w:rPr>
            </w:pPr>
            <w:r>
              <w:rPr>
                <w:sz w:val="21"/>
                <w:szCs w:val="21"/>
              </w:rPr>
              <w:t>--</w:t>
            </w:r>
          </w:p>
        </w:tc>
      </w:tr>
    </w:tbl>
    <w:p>
      <w:pPr>
        <w:pStyle w:val="4"/>
        <w:adjustRightInd w:val="0"/>
        <w:snapToGrid w:val="0"/>
        <w:spacing w:before="0" w:after="0" w:line="360" w:lineRule="auto"/>
        <w:rPr>
          <w:rFonts w:ascii="宋体" w:hAnsi="宋体" w:eastAsia="宋体" w:cs="Times New Roman"/>
          <w:sz w:val="24"/>
          <w:szCs w:val="24"/>
        </w:rPr>
      </w:pPr>
      <w:bookmarkStart w:id="33" w:name="_Toc160210529"/>
      <w:r>
        <w:rPr>
          <w:rFonts w:ascii="宋体" w:hAnsi="宋体" w:eastAsia="宋体" w:cs="Times New Roman"/>
          <w:sz w:val="24"/>
          <w:szCs w:val="24"/>
        </w:rPr>
        <w:t>3.7实践教学情况</w:t>
      </w:r>
      <w:bookmarkEnd w:id="33"/>
    </w:p>
    <w:p>
      <w:pPr>
        <w:tabs>
          <w:tab w:val="left" w:pos="1004"/>
        </w:tabs>
        <w:adjustRightInd w:val="0"/>
        <w:snapToGrid w:val="0"/>
        <w:spacing w:line="360" w:lineRule="auto"/>
        <w:ind w:firstLine="48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目前，本专业教学计划实验完全按照培养计划开出。综合性、设计性实验目前开出率达到</w:t>
      </w:r>
      <w:r>
        <w:rPr>
          <w:rFonts w:cs="Times New Roman"/>
          <w:color w:val="000000" w:themeColor="text1"/>
          <w14:textFill>
            <w14:solidFill>
              <w14:schemeClr w14:val="tx1"/>
            </w14:solidFill>
          </w14:textFill>
        </w:rPr>
        <w:t>100%。学生实习包括专业实习、制造技术实习与产学合作实习等多种形式。要求有实习计划、实习大纲、实习指导书、实习报告、实习总结。教学计划安排了制造技术基础实习C、人力资源管理流程实习、企业劳动关系调研、人员测评软件模拟应用与分析、招聘情境模拟实习等专业实习，各专项实习均有稳定的校内外实习基地。</w:t>
      </w:r>
      <w:r>
        <w:rPr>
          <w:rFonts w:hint="eastAsia"/>
          <w:bCs/>
          <w:lang w:eastAsia="zh-Hans"/>
        </w:rPr>
        <w:t>专业实践教学部分主要包括人力资源管理流程实习、劳资关系调研实习、人员测评软件模拟应用与分析实习、招聘情境模拟实习、企业综合运营沙盘模拟实习等。我校人力资源管理专业的实践教学具有鲜明特色</w:t>
      </w:r>
      <w:r>
        <w:rPr>
          <w:bCs/>
          <w:lang w:eastAsia="zh-Hans"/>
        </w:rPr>
        <w:t>：</w:t>
      </w:r>
    </w:p>
    <w:p>
      <w:pPr>
        <w:adjustRightInd w:val="0"/>
        <w:snapToGrid w:val="0"/>
        <w:spacing w:line="360" w:lineRule="auto"/>
        <w:ind w:firstLine="482" w:firstLineChars="200"/>
        <w:rPr>
          <w:b/>
          <w:bCs/>
          <w:lang w:eastAsia="zh-Hans"/>
        </w:rPr>
      </w:pPr>
      <w:r>
        <w:rPr>
          <w:b/>
          <w:bCs/>
          <w:lang w:eastAsia="zh-Hans"/>
        </w:rPr>
        <w:t>（1）</w:t>
      </w:r>
      <w:r>
        <w:rPr>
          <w:rFonts w:hint="eastAsia"/>
          <w:b/>
          <w:bCs/>
          <w:lang w:eastAsia="zh-Hans"/>
        </w:rPr>
        <w:t>产教融合特色</w:t>
      </w:r>
    </w:p>
    <w:p>
      <w:pPr>
        <w:adjustRightInd w:val="0"/>
        <w:snapToGrid w:val="0"/>
        <w:spacing w:line="360" w:lineRule="auto"/>
        <w:ind w:firstLine="480" w:firstLineChars="200"/>
        <w:rPr>
          <w:bCs/>
          <w:lang w:eastAsia="zh-Hans"/>
        </w:rPr>
      </w:pPr>
      <w:r>
        <w:rPr>
          <w:rFonts w:hint="eastAsia"/>
          <w:bCs/>
          <w:lang w:eastAsia="zh-Hans"/>
        </w:rPr>
        <w:t>依托产学共建实践教育基地，由专业教师为主指导完成人力资源管理流程实习、劳资关系调研实习、人员测评软件模拟应用与分析实习、招聘情境模拟实习、企业综合运营沙盘模拟实习5门共计10个学分的实践课程教学。</w:t>
      </w:r>
    </w:p>
    <w:p>
      <w:pPr>
        <w:adjustRightInd w:val="0"/>
        <w:snapToGrid w:val="0"/>
        <w:spacing w:line="360" w:lineRule="auto"/>
        <w:ind w:firstLine="482" w:firstLineChars="200"/>
        <w:rPr>
          <w:b/>
          <w:bCs/>
          <w:lang w:eastAsia="zh-Hans"/>
        </w:rPr>
      </w:pPr>
      <w:r>
        <w:rPr>
          <w:rFonts w:hint="eastAsia"/>
          <w:b/>
          <w:bCs/>
          <w:lang w:eastAsia="zh-Hans"/>
        </w:rPr>
        <w:t>（</w:t>
      </w:r>
      <w:r>
        <w:rPr>
          <w:b/>
          <w:bCs/>
          <w:lang w:eastAsia="zh-Hans"/>
        </w:rPr>
        <w:t>2</w:t>
      </w:r>
      <w:r>
        <w:rPr>
          <w:rFonts w:hint="eastAsia"/>
          <w:b/>
          <w:bCs/>
          <w:lang w:eastAsia="zh-Hans"/>
        </w:rPr>
        <w:t>）校企产学合作实践</w:t>
      </w:r>
    </w:p>
    <w:p>
      <w:pPr>
        <w:adjustRightInd w:val="0"/>
        <w:snapToGrid w:val="0"/>
        <w:spacing w:line="360" w:lineRule="auto"/>
        <w:ind w:firstLine="480" w:firstLineChars="200"/>
        <w:rPr>
          <w:bCs/>
          <w:lang w:eastAsia="zh-Hans"/>
        </w:rPr>
      </w:pPr>
      <w:r>
        <w:rPr>
          <w:rFonts w:hint="eastAsia"/>
          <w:bCs/>
          <w:lang w:eastAsia="zh-Hans"/>
        </w:rPr>
        <w:t>战略管理、运营管理、财务管理、营销管理等企业非人力资源管理相关职能的实习是本专业学生理论联系实际、接触社会、了解企业运行规律的重要环节，也是培养学生职业道德和行为规范的必要教学环节。实习过程在企业进行，由校企双方导师共同指导，为期6周。</w:t>
      </w:r>
    </w:p>
    <w:p>
      <w:pPr>
        <w:adjustRightInd w:val="0"/>
        <w:snapToGrid w:val="0"/>
        <w:spacing w:line="360" w:lineRule="auto"/>
        <w:ind w:firstLine="480" w:firstLineChars="200"/>
        <w:rPr>
          <w:bCs/>
          <w:lang w:eastAsia="zh-Hans"/>
        </w:rPr>
      </w:pPr>
      <w:r>
        <w:rPr>
          <w:rFonts w:hint="eastAsia"/>
          <w:bCs/>
          <w:lang w:eastAsia="zh-Hans"/>
        </w:rPr>
        <w:t>人力资源管理职能实习侧重培养学生综合运用人力资源管理所学的理论知识与实践结合的能力，要求能够运用适当的工具和科学的方法对人力资源管理领域的实际工作问题进行分析，设计解决方案，从而满足企业招聘、培训、绩效、薪酬、职业生涯规划、劳动关系管理等人力资源管理各职能模块的胜任要求。实习过程在企业进行，由校企双方导师共同指导，为期6周。</w:t>
      </w:r>
    </w:p>
    <w:p>
      <w:pPr>
        <w:adjustRightInd w:val="0"/>
        <w:snapToGrid w:val="0"/>
        <w:spacing w:line="360" w:lineRule="auto"/>
        <w:ind w:firstLine="482" w:firstLineChars="200"/>
        <w:rPr>
          <w:b/>
          <w:bCs/>
          <w:lang w:eastAsia="zh-Hans"/>
        </w:rPr>
      </w:pPr>
      <w:r>
        <w:rPr>
          <w:b/>
          <w:bCs/>
          <w:lang w:eastAsia="zh-Hans"/>
        </w:rPr>
        <w:t>（3）</w:t>
      </w:r>
      <w:r>
        <w:rPr>
          <w:rFonts w:hint="eastAsia"/>
          <w:b/>
          <w:bCs/>
          <w:lang w:eastAsia="zh-Hans"/>
        </w:rPr>
        <w:t>劳动教育实践</w:t>
      </w:r>
    </w:p>
    <w:p>
      <w:pPr>
        <w:adjustRightInd w:val="0"/>
        <w:snapToGrid w:val="0"/>
        <w:spacing w:line="360" w:lineRule="auto"/>
        <w:ind w:firstLine="480" w:firstLineChars="200"/>
        <w:rPr>
          <w:bCs/>
          <w:lang w:eastAsia="zh-Hans"/>
        </w:rPr>
      </w:pPr>
      <w:r>
        <w:rPr>
          <w:rFonts w:hint="eastAsia"/>
          <w:bCs/>
          <w:lang w:eastAsia="zh-Hans"/>
        </w:rPr>
        <w:t>在开展“人力资源管理流程实习”课程的过程中，有意识地让学生在课前清点、清理实验器具，课后打扫实验室，从而培养其劳动意识与劳动习惯。人力资源管理流程实习可以冲抵1学分的劳动教育实践。</w:t>
      </w:r>
    </w:p>
    <w:p>
      <w:pPr>
        <w:pStyle w:val="4"/>
        <w:adjustRightInd w:val="0"/>
        <w:snapToGrid w:val="0"/>
        <w:spacing w:before="0" w:after="0" w:line="360" w:lineRule="auto"/>
        <w:rPr>
          <w:rFonts w:ascii="宋体" w:hAnsi="宋体" w:eastAsia="宋体" w:cs="Times New Roman"/>
          <w:sz w:val="24"/>
          <w:szCs w:val="24"/>
        </w:rPr>
      </w:pPr>
      <w:bookmarkStart w:id="34" w:name="_Toc160210530"/>
      <w:r>
        <w:rPr>
          <w:rFonts w:ascii="宋体" w:hAnsi="宋体" w:eastAsia="宋体" w:cs="Times New Roman"/>
          <w:sz w:val="24"/>
          <w:szCs w:val="24"/>
        </w:rPr>
        <w:t>3.8创新创业教育</w:t>
      </w:r>
      <w:bookmarkEnd w:id="34"/>
    </w:p>
    <w:p>
      <w:pPr>
        <w:adjustRightInd w:val="0"/>
        <w:snapToGrid w:val="0"/>
        <w:spacing w:line="360" w:lineRule="auto"/>
        <w:ind w:firstLine="480" w:firstLineChars="200"/>
      </w:pPr>
      <w:r>
        <w:rPr>
          <w:rFonts w:hint="eastAsia"/>
        </w:rPr>
        <w:t>本专业注重学生的创新精神与实践能力，积极组织学生参加大学生数模竞赛、英语竞赛、互联网</w:t>
      </w:r>
      <w:r>
        <w:t>+创新创业竞赛等各类学科竞赛；专业教师积极指导学生申报参加大学生创新项目；要求学生每年完成6周的暑期产学合作，专业教师积极履行协调员职责。此外，为指导学生更好的参加创新创业活动，本专业新增两门创新类课程《创业企业人员激励管理》和《创新创业人力资源案例研究》。</w:t>
      </w:r>
    </w:p>
    <w:p>
      <w:pPr>
        <w:pStyle w:val="4"/>
        <w:adjustRightInd w:val="0"/>
        <w:snapToGrid w:val="0"/>
        <w:spacing w:before="0" w:after="0" w:line="360" w:lineRule="auto"/>
        <w:rPr>
          <w:rFonts w:ascii="宋体" w:hAnsi="宋体" w:eastAsia="宋体" w:cs="Times New Roman"/>
          <w:sz w:val="24"/>
          <w:szCs w:val="24"/>
        </w:rPr>
      </w:pPr>
      <w:bookmarkStart w:id="35" w:name="_Toc160210531"/>
      <w:r>
        <w:rPr>
          <w:rFonts w:ascii="宋体" w:hAnsi="宋体" w:eastAsia="宋体" w:cs="Times New Roman"/>
          <w:sz w:val="24"/>
          <w:szCs w:val="24"/>
        </w:rPr>
        <w:t>3.9学生毕业综合训练情况</w:t>
      </w:r>
      <w:bookmarkEnd w:id="35"/>
    </w:p>
    <w:p>
      <w:pPr>
        <w:shd w:val="clear" w:color="auto" w:fill="FFFFFF"/>
        <w:adjustRightInd w:val="0"/>
        <w:snapToGrid w:val="0"/>
        <w:spacing w:line="360" w:lineRule="auto"/>
        <w:ind w:firstLine="480" w:firstLine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202</w:t>
      </w:r>
      <w:r>
        <w:rPr>
          <w:rFonts w:hint="eastAsia" w:cs="Times New Roman"/>
          <w:color w:val="000000" w:themeColor="text1"/>
          <w14:textFill>
            <w14:solidFill>
              <w14:schemeClr w14:val="tx1"/>
            </w14:solidFill>
          </w14:textFill>
        </w:rPr>
        <w:t>2</w:t>
      </w:r>
      <w:r>
        <w:rPr>
          <w:rFonts w:cs="Times New Roman"/>
          <w:color w:val="000000" w:themeColor="text1"/>
          <w14:textFill>
            <w14:solidFill>
              <w14:schemeClr w14:val="tx1"/>
            </w14:solidFill>
          </w14:textFill>
        </w:rPr>
        <w:t>—202</w:t>
      </w:r>
      <w:r>
        <w:rPr>
          <w:rFonts w:hint="eastAsia"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学年，</w:t>
      </w:r>
      <w:r>
        <w:rPr>
          <w:rFonts w:hint="eastAsia" w:cs="Times New Roman"/>
          <w:color w:val="000000" w:themeColor="text1"/>
          <w14:textFill>
            <w14:solidFill>
              <w14:schemeClr w14:val="tx1"/>
            </w14:solidFill>
          </w14:textFill>
        </w:rPr>
        <w:t>大四学生整体实习情况良好。</w:t>
      </w:r>
      <w:r>
        <w:rPr>
          <w:rFonts w:cs="Times New Roman"/>
          <w:color w:val="000000" w:themeColor="text1"/>
          <w14:textFill>
            <w14:solidFill>
              <w14:schemeClr w14:val="tx1"/>
            </w14:solidFill>
          </w14:textFill>
        </w:rPr>
        <w:t>专业的毕业论文选题仍旧是100%来源于生产实际或社会热点问题研究项目，选题经过校院两级严格把关，合格率百分之百。</w:t>
      </w:r>
      <w:r>
        <w:rPr>
          <w:rFonts w:hint="eastAsia" w:cs="Times New Roman"/>
          <w:color w:val="000000" w:themeColor="text1"/>
          <w14:textFill>
            <w14:solidFill>
              <w14:schemeClr w14:val="tx1"/>
            </w14:solidFill>
          </w14:textFill>
        </w:rPr>
        <w:t>人力资源管理专业每名教师平均指导毕业生数为3</w:t>
      </w:r>
      <w:r>
        <w:rPr>
          <w:rFonts w:cs="Times New Roman"/>
          <w:color w:val="000000" w:themeColor="text1"/>
          <w14:textFill>
            <w14:solidFill>
              <w14:schemeClr w14:val="tx1"/>
            </w14:solidFill>
          </w14:textFill>
        </w:rPr>
        <w:t>.6，并不断优化专业教师指导毕业论文的学生人数；严格要求指导教师每周至少与学生见面交流1次以上，学生每周填写毕业论文指导记录本，教师签字并存入毕业论文档案袋。</w:t>
      </w:r>
      <w:r>
        <w:rPr>
          <w:rFonts w:hint="eastAsia" w:cs="Times New Roman"/>
          <w:color w:val="000000" w:themeColor="text1"/>
          <w14:textFill>
            <w14:solidFill>
              <w14:schemeClr w14:val="tx1"/>
            </w14:solidFill>
          </w14:textFill>
        </w:rPr>
        <w:t>学校、学院两级单位管理负责制，从选题开始进行审核，论文指导过程中，学院和学校采取初期检查、中期检查和学院答辩预审后才能进入最终答辩程序，答辩通过后整套论文资料全部归档。</w:t>
      </w:r>
      <w:r>
        <w:rPr>
          <w:rFonts w:cs="Times New Roman"/>
          <w:color w:val="000000" w:themeColor="text1"/>
          <w14:textFill>
            <w14:solidFill>
              <w14:schemeClr w14:val="tx1"/>
            </w14:solidFill>
          </w14:textFill>
        </w:rPr>
        <w:t>2023年本专业共毕业36人，所有论文都是一次性通过，毕业论文总体质量水平在我校本科论文中居于较好水平。</w:t>
      </w:r>
    </w:p>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表8</w:t>
      </w:r>
      <w:r>
        <w:rPr>
          <w:rFonts w:ascii="Times New Roman" w:hAnsi="Times New Roman" w:eastAsia="仿宋" w:cs="Times New Roman"/>
          <w:color w:val="000000" w:themeColor="text1"/>
          <w14:textFill>
            <w14:solidFill>
              <w14:schemeClr w14:val="tx1"/>
            </w14:solidFill>
          </w14:textFill>
        </w:rPr>
        <w:t xml:space="preserve"> </w:t>
      </w:r>
      <w:r>
        <w:rPr>
          <w:rFonts w:hint="eastAsia" w:ascii="Times New Roman" w:hAnsi="Times New Roman" w:eastAsia="仿宋" w:cs="Times New Roman"/>
          <w:color w:val="000000" w:themeColor="text1"/>
          <w14:textFill>
            <w14:solidFill>
              <w14:schemeClr w14:val="tx1"/>
            </w14:solidFill>
          </w14:textFill>
        </w:rPr>
        <w:t>学生毕业综合训练情况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sz w:val="22"/>
                <w:szCs w:val="22"/>
              </w:rPr>
            </w:pPr>
            <w:r>
              <w:rPr>
                <w:rFonts w:hint="eastAsia"/>
                <w:sz w:val="22"/>
                <w:szCs w:val="22"/>
              </w:rPr>
              <w:t>项目</w:t>
            </w:r>
          </w:p>
        </w:tc>
        <w:tc>
          <w:tcPr>
            <w:tcW w:w="2347" w:type="dxa"/>
            <w:vAlign w:val="center"/>
          </w:tcPr>
          <w:p>
            <w:pPr>
              <w:jc w:val="center"/>
              <w:rPr>
                <w:sz w:val="22"/>
                <w:szCs w:val="22"/>
              </w:rPr>
            </w:pPr>
            <w:r>
              <w:rPr>
                <w:rFonts w:hint="eastAsia"/>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sz w:val="22"/>
                <w:szCs w:val="22"/>
              </w:rPr>
            </w:pPr>
            <w:r>
              <w:rPr>
                <w:rFonts w:hint="eastAsia"/>
                <w:sz w:val="22"/>
                <w:szCs w:val="22"/>
              </w:rPr>
              <w:t>毕业综合训练课题（个）</w:t>
            </w:r>
          </w:p>
        </w:tc>
        <w:tc>
          <w:tcPr>
            <w:tcW w:w="3969" w:type="dxa"/>
            <w:vAlign w:val="center"/>
          </w:tcPr>
          <w:p>
            <w:pPr>
              <w:jc w:val="center"/>
              <w:rPr>
                <w:sz w:val="22"/>
                <w:szCs w:val="22"/>
              </w:rPr>
            </w:pPr>
            <w:r>
              <w:rPr>
                <w:rFonts w:hint="eastAsia"/>
                <w:sz w:val="22"/>
                <w:szCs w:val="22"/>
              </w:rPr>
              <w:t>总数</w:t>
            </w:r>
          </w:p>
        </w:tc>
        <w:tc>
          <w:tcPr>
            <w:tcW w:w="2347" w:type="dxa"/>
            <w:vAlign w:val="center"/>
          </w:tcPr>
          <w:p>
            <w:pPr>
              <w:jc w:val="center"/>
              <w:rPr>
                <w:sz w:val="22"/>
                <w:szCs w:val="22"/>
              </w:rPr>
            </w:pPr>
            <w:r>
              <w:rPr>
                <w:sz w:val="22"/>
                <w:szCs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其中：在实验、实习、社会调查等社会实践中完成数</w:t>
            </w:r>
          </w:p>
        </w:tc>
        <w:tc>
          <w:tcPr>
            <w:tcW w:w="2347" w:type="dxa"/>
            <w:vAlign w:val="center"/>
          </w:tcPr>
          <w:p>
            <w:pPr>
              <w:jc w:val="center"/>
              <w:rPr>
                <w:sz w:val="22"/>
                <w:szCs w:val="22"/>
              </w:rPr>
            </w:pPr>
            <w:r>
              <w:rPr>
                <w:sz w:val="22"/>
                <w:szCs w:val="22"/>
              </w:rPr>
              <w:t>36</w:t>
            </w:r>
            <w:bookmarkStart w:id="36" w:name="OLE_LINK19"/>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其中：在实验、实习、社会调查等社会实践中完成比例（</w:t>
            </w:r>
            <w:r>
              <w:rPr>
                <w:sz w:val="22"/>
                <w:szCs w:val="22"/>
              </w:rPr>
              <w:t>%）</w:t>
            </w:r>
          </w:p>
        </w:tc>
        <w:tc>
          <w:tcPr>
            <w:tcW w:w="2347" w:type="dxa"/>
            <w:vAlign w:val="center"/>
          </w:tcPr>
          <w:p>
            <w:pPr>
              <w:jc w:val="center"/>
              <w:rPr>
                <w:sz w:val="22"/>
                <w:szCs w:val="22"/>
              </w:rPr>
            </w:pPr>
            <w:r>
              <w:rPr>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sz w:val="22"/>
                <w:szCs w:val="22"/>
              </w:rPr>
            </w:pPr>
            <w:bookmarkStart w:id="37" w:name="OLE_LINK20"/>
            <w:r>
              <w:rPr>
                <w:rFonts w:hint="eastAsia"/>
                <w:sz w:val="22"/>
                <w:szCs w:val="22"/>
              </w:rPr>
              <w:t>指导教师数</w:t>
            </w:r>
            <w:bookmarkEnd w:id="37"/>
          </w:p>
        </w:tc>
        <w:tc>
          <w:tcPr>
            <w:tcW w:w="3969" w:type="dxa"/>
            <w:vAlign w:val="center"/>
          </w:tcPr>
          <w:p>
            <w:pPr>
              <w:jc w:val="center"/>
              <w:rPr>
                <w:sz w:val="22"/>
                <w:szCs w:val="22"/>
              </w:rPr>
            </w:pPr>
            <w:r>
              <w:rPr>
                <w:rFonts w:hint="eastAsia"/>
                <w:sz w:val="22"/>
                <w:szCs w:val="22"/>
              </w:rPr>
              <w:t>本专业教师</w:t>
            </w:r>
          </w:p>
        </w:tc>
        <w:tc>
          <w:tcPr>
            <w:tcW w:w="2347" w:type="dxa"/>
            <w:vAlign w:val="center"/>
          </w:tcPr>
          <w:p>
            <w:pPr>
              <w:jc w:val="center"/>
              <w:rPr>
                <w:sz w:val="22"/>
                <w:szCs w:val="22"/>
              </w:rPr>
            </w:pPr>
            <w:r>
              <w:rPr>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外专业教师</w:t>
            </w:r>
          </w:p>
        </w:tc>
        <w:tc>
          <w:tcPr>
            <w:tcW w:w="2347" w:type="dxa"/>
            <w:vAlign w:val="center"/>
          </w:tcPr>
          <w:p>
            <w:pPr>
              <w:jc w:val="center"/>
              <w:rPr>
                <w:sz w:val="22"/>
                <w:szCs w:val="22"/>
              </w:rPr>
            </w:pPr>
            <w:r>
              <w:rPr>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bookmarkStart w:id="38" w:name="OLE_LINK21"/>
            <w:r>
              <w:rPr>
                <w:rFonts w:hint="eastAsia"/>
                <w:sz w:val="22"/>
                <w:szCs w:val="22"/>
              </w:rPr>
              <w:t>校外指导教师</w:t>
            </w:r>
            <w:bookmarkEnd w:id="38"/>
          </w:p>
        </w:tc>
        <w:tc>
          <w:tcPr>
            <w:tcW w:w="2347" w:type="dxa"/>
            <w:vAlign w:val="center"/>
          </w:tcPr>
          <w:p>
            <w:pPr>
              <w:jc w:val="center"/>
              <w:rPr>
                <w:sz w:val="22"/>
                <w:szCs w:val="22"/>
              </w:rPr>
            </w:pPr>
            <w:r>
              <w:rPr>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sz w:val="22"/>
                <w:szCs w:val="22"/>
              </w:rPr>
            </w:pPr>
            <w:r>
              <w:rPr>
                <w:rFonts w:hint="eastAsia"/>
                <w:sz w:val="22"/>
                <w:szCs w:val="22"/>
              </w:rPr>
              <w:t>每名教师平均指导毕业生数</w:t>
            </w:r>
          </w:p>
        </w:tc>
        <w:tc>
          <w:tcPr>
            <w:tcW w:w="2347" w:type="dxa"/>
            <w:vAlign w:val="center"/>
          </w:tcPr>
          <w:p>
            <w:pPr>
              <w:jc w:val="center"/>
              <w:rPr>
                <w:sz w:val="22"/>
                <w:szCs w:val="22"/>
              </w:rPr>
            </w:pPr>
            <w:r>
              <w:rPr>
                <w:sz w:val="22"/>
                <w:szCs w:val="22"/>
              </w:rPr>
              <w:t>3.6</w:t>
            </w:r>
          </w:p>
        </w:tc>
      </w:tr>
    </w:tbl>
    <w:p>
      <w:pPr>
        <w:pStyle w:val="4"/>
        <w:adjustRightInd w:val="0"/>
        <w:snapToGrid w:val="0"/>
        <w:spacing w:before="0" w:after="0" w:line="360" w:lineRule="auto"/>
        <w:rPr>
          <w:rFonts w:ascii="宋体" w:hAnsi="宋体" w:eastAsia="宋体" w:cs="Times New Roman"/>
          <w:sz w:val="24"/>
          <w:szCs w:val="24"/>
        </w:rPr>
      </w:pPr>
      <w:bookmarkStart w:id="39" w:name="_Toc160210532"/>
      <w:r>
        <w:rPr>
          <w:rFonts w:ascii="宋体" w:hAnsi="宋体" w:eastAsia="宋体" w:cs="Times New Roman"/>
          <w:sz w:val="24"/>
          <w:szCs w:val="24"/>
        </w:rPr>
        <w:t>3.10教学改革</w:t>
      </w:r>
      <w:bookmarkEnd w:id="39"/>
    </w:p>
    <w:p>
      <w:pPr>
        <w:pStyle w:val="41"/>
        <w:adjustRightInd w:val="0"/>
        <w:snapToGrid w:val="0"/>
        <w:ind w:firstLine="0" w:firstLineChars="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（1）专业培养方案的制定与修订</w:t>
      </w:r>
    </w:p>
    <w:p>
      <w:pPr>
        <w:adjustRightInd w:val="0"/>
        <w:snapToGrid w:val="0"/>
        <w:spacing w:line="360" w:lineRule="auto"/>
        <w:ind w:firstLine="480" w:firstLineChars="200"/>
      </w:pPr>
      <w:r>
        <w:t>人力资源管理专业培养方案的总体设计紧密围绕学生的</w:t>
      </w:r>
      <w:r>
        <w:rPr>
          <w:b/>
        </w:rPr>
        <w:t>“知识、能力、素养”</w:t>
      </w:r>
      <w:r>
        <w:t>培育，通过</w:t>
      </w:r>
      <w:r>
        <w:rPr>
          <w:b/>
        </w:rPr>
        <w:t>公共基础知识模块、学科基础知识模块、专业知识模块夯实理论基础</w:t>
      </w:r>
      <w:r>
        <w:t>；通过</w:t>
      </w:r>
      <w:r>
        <w:rPr>
          <w:b/>
        </w:rPr>
        <w:t>创新学分、课内实验、专业实习、课程设计、合作教育</w:t>
      </w:r>
      <w:r>
        <w:t>等形式多样的实践平台锻造学生的实践能力和综合素养，使学生在扎实的基础理论和专业知识的基础上，具备分析与解决实际问题的能力。每一模块都有与总体培养目标相适应的教学训练要求，它们在执行过程中相互支持和渗透，形成一个有机的整体。具体制定流程如下：</w:t>
      </w:r>
    </w:p>
    <w:p>
      <w:pPr>
        <w:adjustRightInd w:val="0"/>
        <w:snapToGrid w:val="0"/>
        <w:spacing w:before="156" w:beforeLines="50" w:after="156" w:afterLines="50" w:line="360" w:lineRule="auto"/>
      </w:pPr>
      <w:r>
        <w:rPr>
          <w:rFonts w:ascii="Times New Roman" w:hAnsi="Times New Roman" w:eastAsia="仿宋"/>
          <w:b/>
          <w:sz w:val="28"/>
          <w:szCs w:val="28"/>
        </w:rPr>
        <mc:AlternateContent>
          <mc:Choice Requires="wpg">
            <w:drawing>
              <wp:inline distT="0" distB="0" distL="0" distR="0">
                <wp:extent cx="5500370" cy="2041525"/>
                <wp:effectExtent l="0" t="0" r="24130" b="15875"/>
                <wp:docPr id="58" name="组合 58"/>
                <wp:cNvGraphicFramePr/>
                <a:graphic xmlns:a="http://schemas.openxmlformats.org/drawingml/2006/main">
                  <a:graphicData uri="http://schemas.microsoft.com/office/word/2010/wordprocessingGroup">
                    <wpg:wgp>
                      <wpg:cNvGrpSpPr/>
                      <wpg:grpSpPr>
                        <a:xfrm>
                          <a:off x="0" y="0"/>
                          <a:ext cx="5500387" cy="2042149"/>
                          <a:chOff x="0" y="0"/>
                          <a:chExt cx="8856" cy="3288"/>
                        </a:xfrm>
                      </wpg:grpSpPr>
                      <wps:wsp>
                        <wps:cNvPr id="59" name="Text Box 3"/>
                        <wps:cNvSpPr>
                          <a:spLocks noChangeArrowheads="1"/>
                        </wps:cNvSpPr>
                        <wps:spPr bwMode="auto">
                          <a:xfrm>
                            <a:off x="3357" y="210"/>
                            <a:ext cx="1288" cy="468"/>
                          </a:xfrm>
                          <a:prstGeom prst="rect">
                            <a:avLst/>
                          </a:prstGeom>
                          <a:solidFill>
                            <a:srgbClr val="FFFFFF"/>
                          </a:solidFill>
                          <a:ln>
                            <a:noFill/>
                          </a:ln>
                        </wps:spPr>
                        <wps:txbx>
                          <w:txbxContent>
                            <w:p>
                              <w:r>
                                <w:rPr>
                                  <w:rFonts w:hint="eastAsia"/>
                                </w:rPr>
                                <w:t>全程指导</w:t>
                              </w:r>
                            </w:p>
                          </w:txbxContent>
                        </wps:txbx>
                        <wps:bodyPr rot="0" vert="horz" wrap="square" lIns="91440" tIns="45720" rIns="91440" bIns="45720" anchor="t" anchorCtr="0" upright="1">
                          <a:noAutofit/>
                        </wps:bodyPr>
                      </wps:wsp>
                      <wps:wsp>
                        <wps:cNvPr id="60" name="Text Box 4"/>
                        <wps:cNvSpPr>
                          <a:spLocks noChangeArrowheads="1"/>
                        </wps:cNvSpPr>
                        <wps:spPr bwMode="auto">
                          <a:xfrm>
                            <a:off x="3495" y="2703"/>
                            <a:ext cx="1287" cy="468"/>
                          </a:xfrm>
                          <a:prstGeom prst="rect">
                            <a:avLst/>
                          </a:prstGeom>
                          <a:solidFill>
                            <a:srgbClr val="FFFFFF"/>
                          </a:solidFill>
                          <a:ln>
                            <a:noFill/>
                          </a:ln>
                        </wps:spPr>
                        <wps:txbx>
                          <w:txbxContent>
                            <w:p>
                              <w:r>
                                <w:rPr>
                                  <w:rFonts w:hint="eastAsia"/>
                                </w:rPr>
                                <w:t>事后反馈</w:t>
                              </w:r>
                            </w:p>
                          </w:txbxContent>
                        </wps:txbx>
                        <wps:bodyPr rot="0" vert="horz" wrap="square" lIns="91440" tIns="45720" rIns="91440" bIns="45720" anchor="t" anchorCtr="0" upright="1">
                          <a:noAutofit/>
                        </wps:bodyPr>
                      </wps:wsp>
                      <wps:wsp>
                        <wps:cNvPr id="61" name="Text Box 5"/>
                        <wps:cNvSpPr>
                          <a:spLocks noChangeArrowheads="1"/>
                        </wps:cNvSpPr>
                        <wps:spPr bwMode="auto">
                          <a:xfrm>
                            <a:off x="7940" y="855"/>
                            <a:ext cx="916" cy="1560"/>
                          </a:xfrm>
                          <a:prstGeom prst="rect">
                            <a:avLst/>
                          </a:prstGeom>
                          <a:solidFill>
                            <a:srgbClr val="FFFFFF"/>
                          </a:solidFill>
                          <a:ln w="9525">
                            <a:solidFill>
                              <a:srgbClr val="000000"/>
                            </a:solidFill>
                            <a:miter lim="200000"/>
                          </a:ln>
                        </wps:spPr>
                        <wps:txbx>
                          <w:txbxContent>
                            <w:p>
                              <w:pPr>
                                <w:jc w:val="center"/>
                              </w:pPr>
                              <w:r>
                                <w:rPr>
                                  <w:rFonts w:hint="eastAsia"/>
                                </w:rPr>
                                <w:t>培养方案</w:t>
                              </w:r>
                            </w:p>
                          </w:txbxContent>
                        </wps:txbx>
                        <wps:bodyPr rot="0" vert="eaVert" wrap="square" lIns="91440" tIns="45720" rIns="91440" bIns="45720" anchor="t" anchorCtr="0" upright="1">
                          <a:noAutofit/>
                        </wps:bodyPr>
                      </wps:wsp>
                      <wps:wsp>
                        <wps:cNvPr id="62" name="Text Box 6"/>
                        <wps:cNvSpPr>
                          <a:spLocks noChangeArrowheads="1"/>
                        </wps:cNvSpPr>
                        <wps:spPr bwMode="auto">
                          <a:xfrm>
                            <a:off x="0" y="1092"/>
                            <a:ext cx="1655" cy="1092"/>
                          </a:xfrm>
                          <a:prstGeom prst="rect">
                            <a:avLst/>
                          </a:prstGeom>
                          <a:solidFill>
                            <a:srgbClr val="FFFFFF"/>
                          </a:solidFill>
                          <a:ln w="9525">
                            <a:solidFill>
                              <a:srgbClr val="000000"/>
                            </a:solidFill>
                            <a:miter lim="200000"/>
                          </a:ln>
                        </wps:spPr>
                        <wps:txbx>
                          <w:txbxContent>
                            <w:p>
                              <w:pPr>
                                <w:jc w:val="center"/>
                              </w:pPr>
                              <w:r>
                                <w:rPr>
                                  <w:rFonts w:hint="eastAsia"/>
                                </w:rPr>
                                <w:t>紧扣专业规范，专业教学团队制定初稿</w:t>
                              </w:r>
                            </w:p>
                          </w:txbxContent>
                        </wps:txbx>
                        <wps:bodyPr rot="0" vert="horz" wrap="square" lIns="91440" tIns="45720" rIns="91440" bIns="45720" anchor="t" anchorCtr="0" upright="1">
                          <a:noAutofit/>
                        </wps:bodyPr>
                      </wps:wsp>
                      <wps:wsp>
                        <wps:cNvPr id="63" name="Text Box 7"/>
                        <wps:cNvSpPr>
                          <a:spLocks noChangeArrowheads="1"/>
                        </wps:cNvSpPr>
                        <wps:spPr bwMode="auto">
                          <a:xfrm>
                            <a:off x="2207" y="1272"/>
                            <a:ext cx="1472" cy="780"/>
                          </a:xfrm>
                          <a:prstGeom prst="rect">
                            <a:avLst/>
                          </a:prstGeom>
                          <a:solidFill>
                            <a:srgbClr val="FFFFFF"/>
                          </a:solidFill>
                          <a:ln w="9525">
                            <a:solidFill>
                              <a:srgbClr val="000000"/>
                            </a:solidFill>
                            <a:miter lim="200000"/>
                          </a:ln>
                        </wps:spPr>
                        <wps:txbx>
                          <w:txbxContent>
                            <w:p>
                              <w:pPr>
                                <w:jc w:val="center"/>
                              </w:pPr>
                              <w:r>
                                <w:rPr>
                                  <w:rFonts w:hint="eastAsia"/>
                                </w:rPr>
                                <w:t>教学指导委员会讨论</w:t>
                              </w:r>
                            </w:p>
                            <w:p>
                              <w:pPr>
                                <w:jc w:val="center"/>
                              </w:pPr>
                            </w:p>
                          </w:txbxContent>
                        </wps:txbx>
                        <wps:bodyPr rot="0" vert="horz" wrap="square" lIns="91440" tIns="45720" rIns="91440" bIns="45720" anchor="t" anchorCtr="0" upright="1">
                          <a:noAutofit/>
                        </wps:bodyPr>
                      </wps:wsp>
                      <wps:wsp>
                        <wps:cNvPr id="64" name="Text Box 8"/>
                        <wps:cNvSpPr>
                          <a:spLocks noChangeArrowheads="1"/>
                        </wps:cNvSpPr>
                        <wps:spPr bwMode="auto">
                          <a:xfrm>
                            <a:off x="4261" y="1284"/>
                            <a:ext cx="1288" cy="780"/>
                          </a:xfrm>
                          <a:prstGeom prst="rect">
                            <a:avLst/>
                          </a:prstGeom>
                          <a:solidFill>
                            <a:srgbClr val="FFFFFF"/>
                          </a:solidFill>
                          <a:ln w="9525">
                            <a:solidFill>
                              <a:srgbClr val="000000"/>
                            </a:solidFill>
                            <a:miter lim="200000"/>
                          </a:ln>
                        </wps:spPr>
                        <wps:txbx>
                          <w:txbxContent>
                            <w:p>
                              <w:pPr>
                                <w:jc w:val="center"/>
                              </w:pPr>
                              <w:r>
                                <w:rPr>
                                  <w:rFonts w:hint="eastAsia"/>
                                </w:rPr>
                                <w:t>院务委员会意见</w:t>
                              </w:r>
                            </w:p>
                          </w:txbxContent>
                        </wps:txbx>
                        <wps:bodyPr rot="0" vert="horz" wrap="square" lIns="91440" tIns="45720" rIns="91440" bIns="45720" anchor="t" anchorCtr="0" upright="1">
                          <a:noAutofit/>
                        </wps:bodyPr>
                      </wps:wsp>
                      <wps:wsp>
                        <wps:cNvPr id="65" name="Text Box 9"/>
                        <wps:cNvSpPr>
                          <a:spLocks noChangeArrowheads="1"/>
                        </wps:cNvSpPr>
                        <wps:spPr bwMode="auto">
                          <a:xfrm>
                            <a:off x="6085" y="1254"/>
                            <a:ext cx="1273" cy="780"/>
                          </a:xfrm>
                          <a:prstGeom prst="rect">
                            <a:avLst/>
                          </a:prstGeom>
                          <a:solidFill>
                            <a:srgbClr val="FFFFFF"/>
                          </a:solidFill>
                          <a:ln w="9525">
                            <a:solidFill>
                              <a:srgbClr val="000000"/>
                            </a:solidFill>
                            <a:miter lim="200000"/>
                          </a:ln>
                        </wps:spPr>
                        <wps:txbx>
                          <w:txbxContent>
                            <w:p>
                              <w:pPr>
                                <w:jc w:val="center"/>
                              </w:pPr>
                              <w:r>
                                <w:rPr>
                                  <w:rFonts w:hint="eastAsia"/>
                                </w:rPr>
                                <w:t>学校教务部门批准</w:t>
                              </w:r>
                            </w:p>
                          </w:txbxContent>
                        </wps:txbx>
                        <wps:bodyPr rot="0" vert="horz" wrap="square" lIns="91440" tIns="45720" rIns="91440" bIns="45720" anchor="t" anchorCtr="0" upright="1">
                          <a:noAutofit/>
                        </wps:bodyPr>
                      </wps:wsp>
                      <wps:wsp>
                        <wps:cNvPr id="66" name="Text Box 10"/>
                        <wps:cNvSpPr>
                          <a:spLocks noChangeArrowheads="1"/>
                        </wps:cNvSpPr>
                        <wps:spPr bwMode="auto">
                          <a:xfrm>
                            <a:off x="0" y="0"/>
                            <a:ext cx="1655" cy="468"/>
                          </a:xfrm>
                          <a:prstGeom prst="rect">
                            <a:avLst/>
                          </a:prstGeom>
                          <a:solidFill>
                            <a:srgbClr val="FFFFFF"/>
                          </a:solidFill>
                          <a:ln w="9525">
                            <a:solidFill>
                              <a:srgbClr val="000000"/>
                            </a:solidFill>
                            <a:miter lim="200000"/>
                          </a:ln>
                        </wps:spPr>
                        <wps:txbx>
                          <w:txbxContent>
                            <w:p>
                              <w:pPr>
                                <w:jc w:val="center"/>
                              </w:pPr>
                              <w:r>
                                <w:rPr>
                                  <w:rFonts w:hint="eastAsia"/>
                                </w:rPr>
                                <w:t>市场需求调研</w:t>
                              </w:r>
                            </w:p>
                          </w:txbxContent>
                        </wps:txbx>
                        <wps:bodyPr rot="0" vert="horz" wrap="square" lIns="91440" tIns="45720" rIns="91440" bIns="45720" anchor="t" anchorCtr="0" upright="1">
                          <a:noAutofit/>
                        </wps:bodyPr>
                      </wps:wsp>
                      <wps:wsp>
                        <wps:cNvPr id="67" name="Text Box 11"/>
                        <wps:cNvSpPr>
                          <a:spLocks noChangeArrowheads="1"/>
                        </wps:cNvSpPr>
                        <wps:spPr bwMode="auto">
                          <a:xfrm>
                            <a:off x="0" y="2820"/>
                            <a:ext cx="1655" cy="468"/>
                          </a:xfrm>
                          <a:prstGeom prst="rect">
                            <a:avLst/>
                          </a:prstGeom>
                          <a:solidFill>
                            <a:srgbClr val="FFFFFF"/>
                          </a:solidFill>
                          <a:ln w="9525">
                            <a:solidFill>
                              <a:srgbClr val="000000"/>
                            </a:solidFill>
                            <a:miter lim="200000"/>
                          </a:ln>
                        </wps:spPr>
                        <wps:txbx>
                          <w:txbxContent>
                            <w:p>
                              <w:r>
                                <w:rPr>
                                  <w:rFonts w:hint="eastAsia"/>
                                </w:rPr>
                                <w:t>相关院校类比</w:t>
                              </w:r>
                            </w:p>
                          </w:txbxContent>
                        </wps:txbx>
                        <wps:bodyPr rot="0" vert="horz" wrap="square" lIns="91440" tIns="45720" rIns="91440" bIns="45720" anchor="t" anchorCtr="0" upright="1">
                          <a:noAutofit/>
                        </wps:bodyPr>
                      </wps:wsp>
                      <wps:wsp>
                        <wps:cNvPr id="68" name="Line 12"/>
                        <wps:cNvCnPr>
                          <a:cxnSpLocks noChangeShapeType="1"/>
                        </wps:cNvCnPr>
                        <wps:spPr bwMode="auto">
                          <a:xfrm>
                            <a:off x="1655" y="1716"/>
                            <a:ext cx="552" cy="0"/>
                          </a:xfrm>
                          <a:prstGeom prst="line">
                            <a:avLst/>
                          </a:prstGeom>
                          <a:noFill/>
                          <a:ln w="28575">
                            <a:solidFill>
                              <a:srgbClr val="000000"/>
                            </a:solidFill>
                            <a:round/>
                            <a:tailEnd type="triangle" w="med" len="med"/>
                          </a:ln>
                        </wps:spPr>
                        <wps:bodyPr/>
                      </wps:wsp>
                      <wps:wsp>
                        <wps:cNvPr id="69" name="Line 13"/>
                        <wps:cNvCnPr>
                          <a:cxnSpLocks noChangeShapeType="1"/>
                        </wps:cNvCnPr>
                        <wps:spPr bwMode="auto">
                          <a:xfrm flipV="1">
                            <a:off x="920" y="2199"/>
                            <a:ext cx="0" cy="468"/>
                          </a:xfrm>
                          <a:prstGeom prst="line">
                            <a:avLst/>
                          </a:prstGeom>
                          <a:noFill/>
                          <a:ln w="9525">
                            <a:solidFill>
                              <a:srgbClr val="000000"/>
                            </a:solidFill>
                            <a:round/>
                            <a:tailEnd type="triangle" w="med" len="med"/>
                          </a:ln>
                        </wps:spPr>
                        <wps:bodyPr/>
                      </wps:wsp>
                      <wps:wsp>
                        <wps:cNvPr id="70" name="Line 14"/>
                        <wps:cNvCnPr>
                          <a:cxnSpLocks noChangeShapeType="1"/>
                        </wps:cNvCnPr>
                        <wps:spPr bwMode="auto">
                          <a:xfrm>
                            <a:off x="2943" y="2058"/>
                            <a:ext cx="0" cy="624"/>
                          </a:xfrm>
                          <a:prstGeom prst="line">
                            <a:avLst/>
                          </a:prstGeom>
                          <a:noFill/>
                          <a:ln w="9525">
                            <a:solidFill>
                              <a:srgbClr val="000000"/>
                            </a:solidFill>
                            <a:round/>
                            <a:tailEnd type="triangle" w="med" len="med"/>
                          </a:ln>
                        </wps:spPr>
                        <wps:bodyPr/>
                      </wps:wsp>
                      <wps:wsp>
                        <wps:cNvPr id="71" name="Line 15"/>
                        <wps:cNvCnPr>
                          <a:cxnSpLocks noChangeShapeType="1"/>
                        </wps:cNvCnPr>
                        <wps:spPr bwMode="auto">
                          <a:xfrm flipV="1">
                            <a:off x="736" y="2184"/>
                            <a:ext cx="0" cy="624"/>
                          </a:xfrm>
                          <a:prstGeom prst="line">
                            <a:avLst/>
                          </a:prstGeom>
                          <a:noFill/>
                          <a:ln w="9525">
                            <a:solidFill>
                              <a:srgbClr val="000000"/>
                            </a:solidFill>
                            <a:round/>
                            <a:tailEnd type="triangle" w="med" len="med"/>
                          </a:ln>
                        </wps:spPr>
                        <wps:bodyPr/>
                      </wps:wsp>
                      <wps:wsp>
                        <wps:cNvPr id="72" name="Line 16"/>
                        <wps:cNvCnPr>
                          <a:cxnSpLocks noChangeShapeType="1"/>
                        </wps:cNvCnPr>
                        <wps:spPr bwMode="auto">
                          <a:xfrm>
                            <a:off x="4966" y="2058"/>
                            <a:ext cx="0" cy="624"/>
                          </a:xfrm>
                          <a:prstGeom prst="line">
                            <a:avLst/>
                          </a:prstGeom>
                          <a:noFill/>
                          <a:ln w="9525">
                            <a:solidFill>
                              <a:srgbClr val="000000"/>
                            </a:solidFill>
                            <a:round/>
                            <a:tailEnd type="triangle" w="med" len="med"/>
                          </a:ln>
                        </wps:spPr>
                        <wps:bodyPr/>
                      </wps:wsp>
                      <wps:wsp>
                        <wps:cNvPr id="73" name="Line 17"/>
                        <wps:cNvCnPr>
                          <a:cxnSpLocks noChangeShapeType="1"/>
                        </wps:cNvCnPr>
                        <wps:spPr bwMode="auto">
                          <a:xfrm>
                            <a:off x="920" y="624"/>
                            <a:ext cx="0" cy="468"/>
                          </a:xfrm>
                          <a:prstGeom prst="line">
                            <a:avLst/>
                          </a:prstGeom>
                          <a:noFill/>
                          <a:ln w="9525">
                            <a:solidFill>
                              <a:srgbClr val="000000"/>
                            </a:solidFill>
                            <a:round/>
                            <a:tailEnd type="triangle" w="med" len="med"/>
                          </a:ln>
                        </wps:spPr>
                        <wps:bodyPr/>
                      </wps:wsp>
                      <wps:wsp>
                        <wps:cNvPr id="74" name="Line 18"/>
                        <wps:cNvCnPr>
                          <a:cxnSpLocks noChangeShapeType="1"/>
                        </wps:cNvCnPr>
                        <wps:spPr bwMode="auto">
                          <a:xfrm flipV="1">
                            <a:off x="2943" y="624"/>
                            <a:ext cx="0" cy="624"/>
                          </a:xfrm>
                          <a:prstGeom prst="line">
                            <a:avLst/>
                          </a:prstGeom>
                          <a:noFill/>
                          <a:ln w="9525">
                            <a:solidFill>
                              <a:srgbClr val="000000"/>
                            </a:solidFill>
                            <a:round/>
                            <a:tailEnd type="triangle" w="med" len="med"/>
                          </a:ln>
                        </wps:spPr>
                        <wps:bodyPr/>
                      </wps:wsp>
                      <wps:wsp>
                        <wps:cNvPr id="75" name="Line 19"/>
                        <wps:cNvCnPr>
                          <a:cxnSpLocks noChangeShapeType="1"/>
                        </wps:cNvCnPr>
                        <wps:spPr bwMode="auto">
                          <a:xfrm flipV="1">
                            <a:off x="4966" y="624"/>
                            <a:ext cx="0" cy="624"/>
                          </a:xfrm>
                          <a:prstGeom prst="line">
                            <a:avLst/>
                          </a:prstGeom>
                          <a:noFill/>
                          <a:ln w="9525">
                            <a:solidFill>
                              <a:srgbClr val="000000"/>
                            </a:solidFill>
                            <a:round/>
                            <a:tailEnd type="triangle" w="med" len="med"/>
                          </a:ln>
                        </wps:spPr>
                        <wps:bodyPr/>
                      </wps:wsp>
                      <wps:wsp>
                        <wps:cNvPr id="76" name="Line 20"/>
                        <wps:cNvCnPr>
                          <a:cxnSpLocks noChangeShapeType="1"/>
                        </wps:cNvCnPr>
                        <wps:spPr bwMode="auto">
                          <a:xfrm>
                            <a:off x="736" y="468"/>
                            <a:ext cx="0" cy="624"/>
                          </a:xfrm>
                          <a:prstGeom prst="line">
                            <a:avLst/>
                          </a:prstGeom>
                          <a:noFill/>
                          <a:ln w="9525">
                            <a:solidFill>
                              <a:srgbClr val="000000"/>
                            </a:solidFill>
                            <a:round/>
                            <a:tailEnd type="triangle" w="med" len="med"/>
                          </a:ln>
                        </wps:spPr>
                        <wps:bodyPr/>
                      </wps:wsp>
                      <wps:wsp>
                        <wps:cNvPr id="77" name="Line 21"/>
                        <wps:cNvCnPr>
                          <a:cxnSpLocks noChangeShapeType="1"/>
                        </wps:cNvCnPr>
                        <wps:spPr bwMode="auto">
                          <a:xfrm>
                            <a:off x="3679" y="1716"/>
                            <a:ext cx="552" cy="0"/>
                          </a:xfrm>
                          <a:prstGeom prst="line">
                            <a:avLst/>
                          </a:prstGeom>
                          <a:noFill/>
                          <a:ln w="28575">
                            <a:solidFill>
                              <a:srgbClr val="000000"/>
                            </a:solidFill>
                            <a:round/>
                            <a:tailEnd type="triangle" w="med" len="med"/>
                          </a:ln>
                        </wps:spPr>
                        <wps:bodyPr/>
                      </wps:wsp>
                      <wps:wsp>
                        <wps:cNvPr id="78" name="Line 22"/>
                        <wps:cNvCnPr>
                          <a:cxnSpLocks noChangeShapeType="1"/>
                        </wps:cNvCnPr>
                        <wps:spPr bwMode="auto">
                          <a:xfrm>
                            <a:off x="5534" y="1701"/>
                            <a:ext cx="582" cy="0"/>
                          </a:xfrm>
                          <a:prstGeom prst="line">
                            <a:avLst/>
                          </a:prstGeom>
                          <a:noFill/>
                          <a:ln w="28575">
                            <a:solidFill>
                              <a:srgbClr val="000000"/>
                            </a:solidFill>
                            <a:round/>
                            <a:tailEnd type="triangle" w="med" len="med"/>
                          </a:ln>
                        </wps:spPr>
                        <wps:bodyPr/>
                      </wps:wsp>
                      <wps:wsp>
                        <wps:cNvPr id="79" name="Line 23"/>
                        <wps:cNvCnPr>
                          <a:cxnSpLocks noChangeShapeType="1"/>
                        </wps:cNvCnPr>
                        <wps:spPr bwMode="auto">
                          <a:xfrm>
                            <a:off x="7358" y="1650"/>
                            <a:ext cx="552" cy="0"/>
                          </a:xfrm>
                          <a:prstGeom prst="line">
                            <a:avLst/>
                          </a:prstGeom>
                          <a:noFill/>
                          <a:ln w="28575">
                            <a:solidFill>
                              <a:srgbClr val="000000"/>
                            </a:solidFill>
                            <a:round/>
                            <a:tailEnd type="triangle" w="med" len="med"/>
                          </a:ln>
                        </wps:spPr>
                        <wps:bodyPr/>
                      </wps:wsp>
                      <wps:wsp>
                        <wps:cNvPr id="80" name="Line 24"/>
                        <wps:cNvCnPr>
                          <a:cxnSpLocks noChangeShapeType="1"/>
                        </wps:cNvCnPr>
                        <wps:spPr bwMode="auto">
                          <a:xfrm flipV="1">
                            <a:off x="6806" y="624"/>
                            <a:ext cx="0" cy="624"/>
                          </a:xfrm>
                          <a:prstGeom prst="line">
                            <a:avLst/>
                          </a:prstGeom>
                          <a:noFill/>
                          <a:ln w="9525">
                            <a:solidFill>
                              <a:srgbClr val="000000"/>
                            </a:solidFill>
                            <a:round/>
                            <a:tailEnd type="triangle" w="med" len="med"/>
                          </a:ln>
                        </wps:spPr>
                        <wps:bodyPr/>
                      </wps:wsp>
                      <wps:wsp>
                        <wps:cNvPr id="81" name="Line 25"/>
                        <wps:cNvCnPr>
                          <a:cxnSpLocks noChangeShapeType="1"/>
                        </wps:cNvCnPr>
                        <wps:spPr bwMode="auto">
                          <a:xfrm>
                            <a:off x="6806" y="2043"/>
                            <a:ext cx="0" cy="624"/>
                          </a:xfrm>
                          <a:prstGeom prst="line">
                            <a:avLst/>
                          </a:prstGeom>
                          <a:noFill/>
                          <a:ln w="9525">
                            <a:solidFill>
                              <a:srgbClr val="000000"/>
                            </a:solidFill>
                            <a:round/>
                            <a:tailEnd type="triangle" w="med" len="med"/>
                          </a:ln>
                        </wps:spPr>
                        <wps:bodyPr/>
                      </wps:wsp>
                      <wps:wsp>
                        <wps:cNvPr id="82" name="Line 26"/>
                        <wps:cNvCnPr>
                          <a:cxnSpLocks noChangeShapeType="1"/>
                        </wps:cNvCnPr>
                        <wps:spPr bwMode="auto">
                          <a:xfrm>
                            <a:off x="920" y="624"/>
                            <a:ext cx="5886" cy="0"/>
                          </a:xfrm>
                          <a:prstGeom prst="line">
                            <a:avLst/>
                          </a:prstGeom>
                          <a:noFill/>
                          <a:ln w="9525">
                            <a:solidFill>
                              <a:srgbClr val="000000"/>
                            </a:solidFill>
                            <a:round/>
                          </a:ln>
                        </wps:spPr>
                        <wps:bodyPr/>
                      </wps:wsp>
                      <wps:wsp>
                        <wps:cNvPr id="83" name="Line 27"/>
                        <wps:cNvCnPr>
                          <a:cxnSpLocks noChangeShapeType="1"/>
                        </wps:cNvCnPr>
                        <wps:spPr bwMode="auto">
                          <a:xfrm>
                            <a:off x="920" y="2682"/>
                            <a:ext cx="5886" cy="0"/>
                          </a:xfrm>
                          <a:prstGeom prst="line">
                            <a:avLst/>
                          </a:prstGeom>
                          <a:noFill/>
                          <a:ln w="9525">
                            <a:solidFill>
                              <a:srgbClr val="000000"/>
                            </a:solidFill>
                            <a:round/>
                          </a:ln>
                        </wps:spPr>
                        <wps:bodyPr/>
                      </wps:wsp>
                    </wpg:wgp>
                  </a:graphicData>
                </a:graphic>
              </wp:inline>
            </w:drawing>
          </mc:Choice>
          <mc:Fallback>
            <w:pict>
              <v:group id="_x0000_s1026" o:spid="_x0000_s1026" o:spt="203" style="height:160.75pt;width:433.1pt;" coordsize="8856,3288" o:gfxdata="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DQ/bSI1gAAAAUBAAAPAAAAAAAAAAEAIAAAACIAAABkcnMvZG93bnJldi54bWxQ&#10;SwECFAAUAAAACACHTuJAlJHVKPsFAAAHOQAADgAAAAAAAAABACAAAAAlAQAAZHJzL2Uyb0RvYy54&#10;bWxQSwUGAAAAAAYABgBZAQAAkgkAAAAA&#10;">
                <o:lock v:ext="edit" aspectratio="f"/>
                <v:rect id="Text Box 3" o:spid="_x0000_s1026" o:spt="1" style="position:absolute;left:3357;top:210;height:468;width:1288;" fillcolor="#FFFFFF" filled="t" stroked="f" coordsize="21600,21600" o:gfxdata="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L2HS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r>
                          <w:rPr>
                            <w:rFonts w:hint="eastAsia"/>
                          </w:rPr>
                          <w:t>全程指导</w:t>
                        </w:r>
                      </w:p>
                    </w:txbxContent>
                  </v:textbox>
                </v:rect>
                <v:rect id="Text Box 4" o:spid="_x0000_s1026" o:spt="1" style="position:absolute;left:3495;top:2703;height:468;width:1287;" fillcolor="#FFFFFF" filled="t" stroked="f" coordsize="21600,21600" o:gfxdata="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du1S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r>
                          <w:rPr>
                            <w:rFonts w:hint="eastAsia"/>
                          </w:rPr>
                          <w:t>事后反馈</w:t>
                        </w:r>
                      </w:p>
                    </w:txbxContent>
                  </v:textbox>
                </v:rect>
                <v:rect id="Text Box 5" o:spid="_x0000_s1026" o:spt="1" style="position:absolute;left:7940;top:855;height:1560;width:916;" fillcolor="#FFFFFF" filled="t" stroked="t" coordsize="21600,21600" o:gfxdata="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wQGi8AAAA&#10;2wAAAA8AAAAAAAAAAQAgAAAAIgAAAGRycy9kb3ducmV2LnhtbFBLAQIUABQAAAAIAIdO4kAzLwWe&#10;OwAAADkAAAAQAAAAAAAAAAEAIAAAAAsBAABkcnMvc2hhcGV4bWwueG1sUEsFBgAAAAAGAAYAWwEA&#10;ALUDAAAAAA==&#10;">
                  <v:fill on="t" focussize="0,0"/>
                  <v:stroke color="#000000" miterlimit="2" joinstyle="miter"/>
                  <v:imagedata o:title=""/>
                  <o:lock v:ext="edit" aspectratio="f"/>
                  <v:textbox style="layout-flow:vertical-ideographic;">
                    <w:txbxContent>
                      <w:p>
                        <w:pPr>
                          <w:jc w:val="center"/>
                        </w:pPr>
                        <w:r>
                          <w:rPr>
                            <w:rFonts w:hint="eastAsia"/>
                          </w:rPr>
                          <w:t>培养方案</w:t>
                        </w:r>
                      </w:p>
                    </w:txbxContent>
                  </v:textbox>
                </v:rect>
                <v:rect id="Text Box 6" o:spid="_x0000_s1026" o:spt="1" style="position:absolute;left:0;top:1092;height:1092;width:1655;" fillcolor="#FFFFFF" filled="t" stroked="t" coordsize="21600,21600" o:gfxdata="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eCC28AAAA&#10;2wAAAA8AAAAAAAAAAQAgAAAAIgAAAGRycy9kb3ducmV2LnhtbFBLAQIUABQAAAAIAIdO4kAzLwWe&#10;OwAAADkAAAAQAAAAAAAAAAEAIAAAAAsBAABkcnMvc2hhcGV4bWwueG1sUEsFBgAAAAAGAAYAWwEA&#10;ALUDAAAAAA==&#10;">
                  <v:fill on="t" focussize="0,0"/>
                  <v:stroke color="#000000" miterlimit="2" joinstyle="miter"/>
                  <v:imagedata o:title=""/>
                  <o:lock v:ext="edit" aspectratio="f"/>
                  <v:textbox>
                    <w:txbxContent>
                      <w:p>
                        <w:pPr>
                          <w:jc w:val="center"/>
                        </w:pPr>
                        <w:r>
                          <w:rPr>
                            <w:rFonts w:hint="eastAsia"/>
                          </w:rPr>
                          <w:t>紧扣专业规范，专业教学团队制定初稿</w:t>
                        </w:r>
                      </w:p>
                    </w:txbxContent>
                  </v:textbox>
                </v:rect>
                <v:rect id="Text Box 7" o:spid="_x0000_s1026" o:spt="1" style="position:absolute;left:2207;top:1272;height:780;width:1472;" fillcolor="#FFFFFF" filled="t" stroked="t" coordsize="21600,21600" o:gfxdata="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Srba8AAAA&#10;2wAAAA8AAAAAAAAAAQAgAAAAIgAAAGRycy9kb3ducmV2LnhtbFBLAQIUABQAAAAIAIdO4kAzLwWe&#10;OwAAADkAAAAQAAAAAAAAAAEAIAAAAAsBAABkcnMvc2hhcGV4bWwueG1sUEsFBgAAAAAGAAYAWwEA&#10;ALUDAAAAAA==&#10;">
                  <v:fill on="t" focussize="0,0"/>
                  <v:stroke color="#000000" miterlimit="2" joinstyle="miter"/>
                  <v:imagedata o:title=""/>
                  <o:lock v:ext="edit" aspectratio="f"/>
                  <v:textbox>
                    <w:txbxContent>
                      <w:p>
                        <w:pPr>
                          <w:jc w:val="center"/>
                        </w:pPr>
                        <w:r>
                          <w:rPr>
                            <w:rFonts w:hint="eastAsia"/>
                          </w:rPr>
                          <w:t>教学指导委员会讨论</w:t>
                        </w:r>
                      </w:p>
                      <w:p>
                        <w:pPr>
                          <w:jc w:val="center"/>
                        </w:pPr>
                      </w:p>
                    </w:txbxContent>
                  </v:textbox>
                </v:rect>
                <v:rect id="Text Box 8" o:spid="_x0000_s1026" o:spt="1" style="position:absolute;left:4261;top:1284;height:780;width:1288;" fillcolor="#FFFFFF" filled="t" stroked="t" coordsize="21600,21600" o:gfxdata="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7NcK8AAAA&#10;2wAAAA8AAAAAAAAAAQAgAAAAIgAAAGRycy9kb3ducmV2LnhtbFBLAQIUABQAAAAIAIdO4kAzLwWe&#10;OwAAADkAAAAQAAAAAAAAAAEAIAAAAAsBAABkcnMvc2hhcGV4bWwueG1sUEsFBgAAAAAGAAYAWwEA&#10;ALUDAAAAAA==&#10;">
                  <v:fill on="t" focussize="0,0"/>
                  <v:stroke color="#000000" miterlimit="2" joinstyle="miter"/>
                  <v:imagedata o:title=""/>
                  <o:lock v:ext="edit" aspectratio="f"/>
                  <v:textbox>
                    <w:txbxContent>
                      <w:p>
                        <w:pPr>
                          <w:jc w:val="center"/>
                        </w:pPr>
                        <w:r>
                          <w:rPr>
                            <w:rFonts w:hint="eastAsia"/>
                          </w:rPr>
                          <w:t>院务委员会意见</w:t>
                        </w:r>
                      </w:p>
                    </w:txbxContent>
                  </v:textbox>
                </v:rect>
                <v:rect id="Text Box 9" o:spid="_x0000_s1026" o:spt="1" style="position:absolute;left:6085;top:1254;height:780;width:1273;" fillcolor="#FFFFFF" filled="t" stroked="t" coordsize="21600,21600" o:gfxdata="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3kFm8AAAA&#10;2wAAAA8AAAAAAAAAAQAgAAAAIgAAAGRycy9kb3ducmV2LnhtbFBLAQIUABQAAAAIAIdO4kAzLwWe&#10;OwAAADkAAAAQAAAAAAAAAAEAIAAAAAsBAABkcnMvc2hhcGV4bWwueG1sUEsFBgAAAAAGAAYAWwEA&#10;ALUDAAAAAA==&#10;">
                  <v:fill on="t" focussize="0,0"/>
                  <v:stroke color="#000000" miterlimit="2" joinstyle="miter"/>
                  <v:imagedata o:title=""/>
                  <o:lock v:ext="edit" aspectratio="f"/>
                  <v:textbox>
                    <w:txbxContent>
                      <w:p>
                        <w:pPr>
                          <w:jc w:val="center"/>
                        </w:pPr>
                        <w:r>
                          <w:rPr>
                            <w:rFonts w:hint="eastAsia"/>
                          </w:rPr>
                          <w:t>学校教务部门批准</w:t>
                        </w:r>
                      </w:p>
                    </w:txbxContent>
                  </v:textbox>
                </v:rect>
                <v:rect id="Text Box 10" o:spid="_x0000_s1026" o:spt="1" style="position:absolute;left:0;top:0;height:468;width:1655;" fillcolor="#FFFFFF" filled="t" stroked="t" coordsize="21600,21600" o:gfxdata="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lDi68AAAA&#10;2wAAAA8AAAAAAAAAAQAgAAAAIgAAAGRycy9kb3ducmV2LnhtbFBLAQIUABQAAAAIAIdO4kAzLwWe&#10;OwAAADkAAAAQAAAAAAAAAAEAIAAAAAsBAABkcnMvc2hhcGV4bWwueG1sUEsFBgAAAAAGAAYAWwEA&#10;ALUDAAAAAA==&#10;">
                  <v:fill on="t" focussize="0,0"/>
                  <v:stroke color="#000000" miterlimit="2" joinstyle="miter"/>
                  <v:imagedata o:title=""/>
                  <o:lock v:ext="edit" aspectratio="f"/>
                  <v:textbox>
                    <w:txbxContent>
                      <w:p>
                        <w:pPr>
                          <w:jc w:val="center"/>
                        </w:pPr>
                        <w:r>
                          <w:rPr>
                            <w:rFonts w:hint="eastAsia"/>
                          </w:rPr>
                          <w:t>市场需求调研</w:t>
                        </w:r>
                      </w:p>
                    </w:txbxContent>
                  </v:textbox>
                </v:rect>
                <v:rect id="Text Box 11" o:spid="_x0000_s1026" o:spt="1" style="position:absolute;left:0;top:2820;height:468;width:1655;" fillcolor="#FFFFFF" filled="t" stroked="t" coordsize="21600,21600" o:gfxdata="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pq7W8AAAA&#10;2wAAAA8AAAAAAAAAAQAgAAAAIgAAAGRycy9kb3ducmV2LnhtbFBLAQIUABQAAAAIAIdO4kAzLwWe&#10;OwAAADkAAAAQAAAAAAAAAAEAIAAAAAsBAABkcnMvc2hhcGV4bWwueG1sUEsFBgAAAAAGAAYAWwEA&#10;ALUDAAAAAA==&#10;">
                  <v:fill on="t" focussize="0,0"/>
                  <v:stroke color="#000000" miterlimit="2" joinstyle="miter"/>
                  <v:imagedata o:title=""/>
                  <o:lock v:ext="edit" aspectratio="f"/>
                  <v:textbox>
                    <w:txbxContent>
                      <w:p>
                        <w:r>
                          <w:rPr>
                            <w:rFonts w:hint="eastAsia"/>
                          </w:rPr>
                          <w:t>相关院校类比</w:t>
                        </w:r>
                      </w:p>
                    </w:txbxContent>
                  </v:textbox>
                </v:rect>
                <v:line id="Line 12" o:spid="_x0000_s1026" o:spt="20" style="position:absolute;left:1655;top:1716;height:0;width:552;" filled="f" stroked="t" coordsize="21600,21600" o:gfxdata="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TZ5mrUAAADbAAAADwAA&#10;AAAAAAABACAAAAAiAAAAZHJzL2Rvd25yZXYueG1sUEsBAhQAFAAAAAgAh07iQDMvBZ47AAAAOQAA&#10;ABAAAAAAAAAAAQAgAAAABAEAAGRycy9zaGFwZXhtbC54bWxQSwUGAAAAAAYABgBbAQAArgMAAAAA&#10;">
                  <v:fill on="f" focussize="0,0"/>
                  <v:stroke weight="2.25pt" color="#000000" joinstyle="round" endarrow="block"/>
                  <v:imagedata o:title=""/>
                  <o:lock v:ext="edit" aspectratio="f"/>
                </v:line>
                <v:line id="Line 13" o:spid="_x0000_s1026" o:spt="20" style="position:absolute;left:920;top:2199;flip:y;height:468;width:0;"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4" o:spid="_x0000_s1026" o:spt="20" style="position:absolute;left:2943;top:2058;height:624;width:0;"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15" o:spid="_x0000_s1026" o:spt="20" style="position:absolute;left:736;top:2184;flip:y;height:624;width:0;" filled="f" stroked="t" coordsize="21600,21600" o:gfxdata="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hmk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6" o:spid="_x0000_s1026" o:spt="20" style="position:absolute;left:4966;top:2058;height:624;width:0;" filled="f" stroked="t" coordsize="21600,21600" o:gfxdata="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oIu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7" o:spid="_x0000_s1026" o:spt="20" style="position:absolute;left:920;top:624;height:468;width:0;" filled="f" stroked="t" coordsize="21600,21600" o:gfxdata="UEsDBAoAAAAAAIdO4kAAAAAAAAAAAAAAAAAEAAAAZHJzL1BLAwQUAAAACACHTuJARKSHfL8AAADb&#10;AAAADwAAAGRycy9kb3ducmV2LnhtbEWPT2vCQBTE7wW/w/KE3uomF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h3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8" o:spid="_x0000_s1026" o:spt="20" style="position:absolute;left:2943;top:624;flip:y;height:624;width:0;" filled="f" stroked="t" coordsize="21600,21600" o:gfxdata="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WOd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9" o:spid="_x0000_s1026" o:spt="20" style="position:absolute;left:4966;top:624;flip:y;height:624;width:0;" filled="f" stroked="t" coordsize="21600,21600" o:gfxdata="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an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20" o:spid="_x0000_s1026" o:spt="20" style="position:absolute;left:736;top:468;height:624;width:0;" filled="f" stroked="t" coordsize="21600,21600" o:gfxdata="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Mk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21" o:spid="_x0000_s1026" o:spt="20" style="position:absolute;left:3679;top:1716;height:0;width:552;" filled="f" stroked="t" coordsize="21600,21600" o:gfxdata="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XB7Nb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line id="Line 22" o:spid="_x0000_s1026" o:spt="20" style="position:absolute;left:5534;top:1701;height:0;width:582;" filled="f" stroked="t" coordsize="21600,21600" o:gfxdata="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O/vR7UAAADbAAAADwAA&#10;AAAAAAABACAAAAAiAAAAZHJzL2Rvd25yZXYueG1sUEsBAhQAFAAAAAgAh07iQDMvBZ47AAAAOQAA&#10;ABAAAAAAAAAAAQAgAAAABAEAAGRycy9zaGFwZXhtbC54bWxQSwUGAAAAAAYABgBbAQAArgMAAAAA&#10;">
                  <v:fill on="f" focussize="0,0"/>
                  <v:stroke weight="2.25pt" color="#000000" joinstyle="round" endarrow="block"/>
                  <v:imagedata o:title=""/>
                  <o:lock v:ext="edit" aspectratio="f"/>
                </v:line>
                <v:line id="Line 23" o:spid="_x0000_s1026" o:spt="20" style="position:absolute;left:7358;top:1650;height:0;width:552;" filled="f" stroked="t" coordsize="21600,21600" o:gfxdata="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jSty8AAAA&#10;2wAAAA8AAAAAAAAAAQAgAAAAIgAAAGRycy9kb3ducmV2LnhtbFBLAQIUABQAAAAIAIdO4kAzLwWe&#10;OwAAADkAAAAQAAAAAAAAAAEAIAAAAAsBAABkcnMvc2hhcGV4bWwueG1sUEsFBgAAAAAGAAYAWwEA&#10;ALUDAAAAAA==&#10;">
                  <v:fill on="f" focussize="0,0"/>
                  <v:stroke weight="2.25pt" color="#000000" joinstyle="round" endarrow="block"/>
                  <v:imagedata o:title=""/>
                  <o:lock v:ext="edit" aspectratio="f"/>
                </v:line>
                <v:line id="Line 24" o:spid="_x0000_s1026" o:spt="20" style="position:absolute;left:6806;top:624;flip:y;height:624;width:0;" filled="f" stroked="t" coordsize="21600,21600" o:gfxdata="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P8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25" o:spid="_x0000_s1026" o:spt="20" style="position:absolute;left:6806;top:2043;height:624;width:0;" filled="f" stroked="t" coordsize="21600,21600" o:gfxdata="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M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26" o:spid="_x0000_s1026" o:spt="20" style="position:absolute;left:920;top:624;height:0;width:5886;" filled="f" stroked="t" coordsize="21600,21600" o:gfxdata="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h+w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7" o:spid="_x0000_s1026" o:spt="20" style="position:absolute;left:920;top:2682;height:0;width:5886;" filled="f" stroked="t" coordsize="21600,21600" o:gfxdata="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b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w10:wrap type="none"/>
                <w10:anchorlock/>
              </v:group>
            </w:pict>
          </mc:Fallback>
        </mc:AlternateContent>
      </w:r>
    </w:p>
    <w:p>
      <w:pPr>
        <w:adjustRightInd w:val="0"/>
        <w:snapToGrid w:val="0"/>
        <w:spacing w:before="156" w:beforeLines="50" w:after="156" w:afterLines="50" w:line="360" w:lineRule="auto"/>
        <w:ind w:firstLine="482" w:firstLineChars="200"/>
      </w:pPr>
      <w:r>
        <w:rPr>
          <w:b/>
        </w:rPr>
        <w:t xml:space="preserve">           图 1 本专业“培养方案”制定流程图</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教改与质量工程建设</w:t>
      </w:r>
    </w:p>
    <w:p>
      <w:pPr>
        <w:pStyle w:val="41"/>
        <w:adjustRightInd w:val="0"/>
        <w:snapToGrid w:val="0"/>
        <w:ind w:firstLine="480"/>
        <w:rPr>
          <w:rFonts w:ascii="宋体" w:hAnsi="宋体" w:eastAsia="宋体"/>
          <w:b w:val="0"/>
          <w:color w:val="000000" w:themeColor="text1"/>
          <w:kern w:val="0"/>
          <w:sz w:val="24"/>
          <w:szCs w:val="24"/>
          <w14:textFill>
            <w14:solidFill>
              <w14:schemeClr w14:val="tx1"/>
            </w14:solidFill>
          </w14:textFill>
        </w:rPr>
      </w:pPr>
      <w:r>
        <w:rPr>
          <w:rFonts w:hint="eastAsia" w:ascii="宋体" w:hAnsi="宋体" w:eastAsia="宋体"/>
          <w:b w:val="0"/>
          <w:color w:val="000000" w:themeColor="text1"/>
          <w:kern w:val="0"/>
          <w:sz w:val="24"/>
          <w:szCs w:val="24"/>
          <w14:textFill>
            <w14:solidFill>
              <w14:schemeClr w14:val="tx1"/>
            </w14:solidFill>
          </w14:textFill>
        </w:rPr>
        <w:t>人力资源管理专业教师重视教改，积极推进教学理念、教学方法和教学模式改革</w:t>
      </w:r>
      <w:r>
        <w:rPr>
          <w:rFonts w:ascii="宋体" w:hAnsi="宋体" w:eastAsia="宋体"/>
          <w:b w:val="0"/>
          <w:color w:val="000000" w:themeColor="text1"/>
          <w:kern w:val="0"/>
          <w:sz w:val="24"/>
          <w:szCs w:val="24"/>
          <w14:textFill>
            <w14:solidFill>
              <w14:schemeClr w14:val="tx1"/>
            </w14:solidFill>
          </w14:textFill>
        </w:rPr>
        <w:t>,努力提高教学效果。实行“以学为中心、以教为主导”的立体化教学，例如：实施精品教材工程、编制多媒体课件、将案例、应用软件、双语教学和实验等相结合。《组织行为学》（第二版）课程获得市级课程建设资助。</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教学资源及利用</w:t>
      </w:r>
    </w:p>
    <w:p>
      <w:pPr>
        <w:pStyle w:val="41"/>
        <w:adjustRightInd w:val="0"/>
        <w:snapToGrid w:val="0"/>
        <w:ind w:firstLine="480"/>
        <w:rPr>
          <w:rFonts w:ascii="宋体" w:hAnsi="宋体" w:eastAsia="宋体"/>
          <w:b w:val="0"/>
          <w:color w:val="000000" w:themeColor="text1"/>
          <w:kern w:val="0"/>
          <w:sz w:val="24"/>
          <w:szCs w:val="24"/>
          <w14:textFill>
            <w14:solidFill>
              <w14:schemeClr w14:val="tx1"/>
            </w14:solidFill>
          </w14:textFill>
        </w:rPr>
      </w:pPr>
      <w:r>
        <w:rPr>
          <w:rFonts w:hint="eastAsia" w:ascii="宋体" w:hAnsi="宋体" w:eastAsia="宋体"/>
          <w:b w:val="0"/>
          <w:color w:val="000000" w:themeColor="text1"/>
          <w:kern w:val="0"/>
          <w:sz w:val="24"/>
          <w:szCs w:val="24"/>
          <w14:textFill>
            <w14:solidFill>
              <w14:schemeClr w14:val="tx1"/>
            </w14:solidFill>
          </w14:textFill>
        </w:rPr>
        <w:t>专业努力丰富专业教学资源，通过构建网络资源、信息化平台、建设线上线下课程等方式推进教学水平与质量的提高。本专业教师重视教学内容、方法改革，不断改进多媒体教学手段的运用，使用的教材质量有保证，教学内容动态更新。《人力资源管理》、《组织行为学》等主干课程均大量采用案例分析、情景模拟、角色扮演、小组讨论、翻转课堂等教学方法进行互动研讨式教学。</w:t>
      </w:r>
    </w:p>
    <w:p>
      <w:pPr>
        <w:pStyle w:val="3"/>
        <w:adjustRightInd w:val="0"/>
        <w:snapToGrid w:val="0"/>
        <w:spacing w:before="0" w:after="0" w:line="360" w:lineRule="auto"/>
        <w:jc w:val="left"/>
        <w:rPr>
          <w:rFonts w:ascii="宋体" w:hAnsi="宋体"/>
          <w:sz w:val="28"/>
          <w:szCs w:val="28"/>
        </w:rPr>
      </w:pPr>
      <w:bookmarkStart w:id="40" w:name="_Toc160210533"/>
      <w:r>
        <w:rPr>
          <w:rFonts w:ascii="宋体" w:hAnsi="宋体"/>
          <w:sz w:val="28"/>
          <w:szCs w:val="28"/>
        </w:rPr>
        <w:t>4.</w:t>
      </w:r>
      <w:r>
        <w:rPr>
          <w:rFonts w:ascii="宋体" w:hAnsi="宋体"/>
        </w:rPr>
        <w:t>教师队伍</w:t>
      </w:r>
      <w:bookmarkEnd w:id="40"/>
      <w:r>
        <w:rPr>
          <w:rFonts w:ascii="宋体" w:hAnsi="宋体"/>
        </w:rPr>
        <w:t xml:space="preserve"> </w:t>
      </w:r>
    </w:p>
    <w:p>
      <w:pPr>
        <w:pStyle w:val="4"/>
        <w:adjustRightInd w:val="0"/>
        <w:snapToGrid w:val="0"/>
        <w:spacing w:before="0" w:after="0" w:line="360" w:lineRule="auto"/>
        <w:rPr>
          <w:rFonts w:ascii="宋体" w:hAnsi="宋体" w:eastAsia="宋体" w:cs="Times New Roman"/>
          <w:sz w:val="24"/>
          <w:szCs w:val="24"/>
        </w:rPr>
      </w:pPr>
      <w:bookmarkStart w:id="41" w:name="_Toc160210534"/>
      <w:r>
        <w:rPr>
          <w:rFonts w:ascii="宋体" w:hAnsi="宋体" w:eastAsia="宋体" w:cs="Times New Roman"/>
          <w:sz w:val="24"/>
          <w:szCs w:val="24"/>
        </w:rPr>
        <w:t>4.1专业教师数量与结构</w:t>
      </w:r>
      <w:bookmarkEnd w:id="41"/>
    </w:p>
    <w:p>
      <w:pPr>
        <w:adjustRightInd w:val="0"/>
        <w:snapToGrid w:val="0"/>
        <w:spacing w:line="360" w:lineRule="auto"/>
        <w:ind w:firstLine="480" w:firstLine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目前，</w:t>
      </w:r>
      <w:r>
        <w:rPr>
          <w:rFonts w:hint="eastAsia" w:cs="Times New Roman"/>
          <w:color w:val="000000" w:themeColor="text1"/>
          <w14:textFill>
            <w14:solidFill>
              <w14:schemeClr w14:val="tx1"/>
            </w14:solidFill>
          </w14:textFill>
        </w:rPr>
        <w:t>人力资源管理</w:t>
      </w:r>
      <w:r>
        <w:rPr>
          <w:rFonts w:cs="Times New Roman"/>
          <w:color w:val="000000" w:themeColor="text1"/>
          <w14:textFill>
            <w14:solidFill>
              <w14:schemeClr w14:val="tx1"/>
            </w14:solidFill>
          </w14:textFill>
        </w:rPr>
        <w:t>的专业负责人</w:t>
      </w:r>
      <w:r>
        <w:rPr>
          <w:rFonts w:hint="eastAsia" w:cs="Times New Roman"/>
          <w:color w:val="000000" w:themeColor="text1"/>
          <w14:textFill>
            <w14:solidFill>
              <w14:schemeClr w14:val="tx1"/>
            </w14:solidFill>
          </w14:textFill>
        </w:rPr>
        <w:t>为李含伟</w:t>
      </w:r>
      <w:r>
        <w:rPr>
          <w:rFonts w:cs="Times New Roman"/>
          <w:color w:val="000000" w:themeColor="text1"/>
          <w14:textFill>
            <w14:solidFill>
              <w14:schemeClr w14:val="tx1"/>
            </w14:solidFill>
          </w14:textFill>
        </w:rPr>
        <w:t>教授，专职在岗教师共计13人，均具有硕士及以上学位。</w:t>
      </w:r>
      <w:r>
        <w:rPr>
          <w:rFonts w:hint="eastAsia" w:cs="Times New Roman"/>
          <w:color w:val="000000" w:themeColor="text1"/>
          <w14:textFill>
            <w14:solidFill>
              <w14:schemeClr w14:val="tx1"/>
            </w14:solidFill>
          </w14:textFill>
        </w:rPr>
        <w:t>近几年，多位教师获得教学和师德荣誉，</w:t>
      </w:r>
      <w:r>
        <w:rPr>
          <w:rFonts w:cs="Times New Roman"/>
          <w:color w:val="000000" w:themeColor="text1"/>
          <w14:textFill>
            <w14:solidFill>
              <w14:schemeClr w14:val="tx1"/>
            </w14:solidFill>
          </w14:textFill>
        </w:rPr>
        <w:t>1位教师获得上海市优秀教育工作者称号，1位教师三八红旗手、1位教师获得校级教学名师称号，1位教师获得校优秀教育工作者称号,1位老师获中国人才研究会会议论文二等奖，一位老师获全国商科教育实践教学大赛三等奖。</w:t>
      </w:r>
    </w:p>
    <w:p>
      <w:pPr>
        <w:spacing w:line="360" w:lineRule="auto"/>
        <w:ind w:firstLine="3120" w:firstLineChars="1300"/>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表9</w:t>
      </w:r>
      <w:r>
        <w:rPr>
          <w:rFonts w:ascii="Times New Roman" w:hAnsi="Times New Roman" w:eastAsia="仿宋" w:cs="Times New Roman"/>
          <w:color w:val="000000" w:themeColor="text1"/>
          <w14:textFill>
            <w14:solidFill>
              <w14:schemeClr w14:val="tx1"/>
            </w14:solidFill>
          </w14:textFill>
        </w:rPr>
        <w:t xml:space="preserve"> </w:t>
      </w:r>
      <w:r>
        <w:rPr>
          <w:rFonts w:hint="eastAsia" w:ascii="Times New Roman" w:hAnsi="Times New Roman" w:eastAsia="仿宋" w:cs="Times New Roman"/>
          <w:color w:val="000000" w:themeColor="text1"/>
          <w14:textFill>
            <w14:solidFill>
              <w14:schemeClr w14:val="tx1"/>
            </w14:solidFill>
          </w14:textFill>
        </w:rPr>
        <w:t>专业教师数量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项目</w:t>
            </w:r>
          </w:p>
        </w:tc>
        <w:tc>
          <w:tcPr>
            <w:tcW w:w="1843" w:type="dxa"/>
            <w:vAlign w:val="center"/>
          </w:tcPr>
          <w:p>
            <w:pPr>
              <w:jc w:val="center"/>
              <w:rPr>
                <w:sz w:val="21"/>
                <w:szCs w:val="21"/>
              </w:rPr>
            </w:pPr>
            <w:r>
              <w:rPr>
                <w:rFonts w:hint="eastAsia"/>
                <w:sz w:val="21"/>
                <w:szCs w:val="21"/>
              </w:rPr>
              <w:t>数量</w:t>
            </w:r>
          </w:p>
        </w:tc>
        <w:tc>
          <w:tcPr>
            <w:tcW w:w="1638" w:type="dxa"/>
            <w:vAlign w:val="center"/>
          </w:tcPr>
          <w:p>
            <w:pPr>
              <w:jc w:val="center"/>
              <w:rPr>
                <w:sz w:val="21"/>
                <w:szCs w:val="21"/>
              </w:rPr>
            </w:pPr>
            <w:r>
              <w:rPr>
                <w:rFonts w:hint="eastAsia"/>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专业教师总数</w:t>
            </w:r>
          </w:p>
        </w:tc>
        <w:tc>
          <w:tcPr>
            <w:tcW w:w="1843" w:type="dxa"/>
            <w:vAlign w:val="center"/>
          </w:tcPr>
          <w:p>
            <w:pPr>
              <w:jc w:val="center"/>
              <w:rPr>
                <w:sz w:val="21"/>
                <w:szCs w:val="21"/>
              </w:rPr>
            </w:pPr>
            <w:r>
              <w:rPr>
                <w:sz w:val="21"/>
                <w:szCs w:val="21"/>
              </w:rPr>
              <w:t>13</w:t>
            </w:r>
            <w:bookmarkStart w:id="42" w:name="OLE_LINK1"/>
            <w:bookmarkEnd w:id="42"/>
          </w:p>
        </w:tc>
        <w:tc>
          <w:tcPr>
            <w:tcW w:w="1638"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其中：</w:t>
            </w:r>
            <w:bookmarkStart w:id="43" w:name="OLE_LINK26"/>
            <w:r>
              <w:rPr>
                <w:rFonts w:hint="eastAsia"/>
                <w:sz w:val="21"/>
                <w:szCs w:val="21"/>
              </w:rPr>
              <w:t>近五年新增教师</w:t>
            </w:r>
            <w:bookmarkEnd w:id="43"/>
          </w:p>
        </w:tc>
        <w:tc>
          <w:tcPr>
            <w:tcW w:w="1843" w:type="dxa"/>
            <w:vAlign w:val="center"/>
          </w:tcPr>
          <w:p>
            <w:pPr>
              <w:jc w:val="center"/>
              <w:rPr>
                <w:sz w:val="21"/>
                <w:szCs w:val="21"/>
              </w:rPr>
            </w:pPr>
            <w:r>
              <w:rPr>
                <w:sz w:val="21"/>
                <w:szCs w:val="21"/>
              </w:rPr>
              <w:t>5</w:t>
            </w:r>
            <w:bookmarkStart w:id="44" w:name="OLE_LINK23"/>
            <w:bookmarkEnd w:id="44"/>
          </w:p>
        </w:tc>
        <w:tc>
          <w:tcPr>
            <w:tcW w:w="1638" w:type="dxa"/>
            <w:vAlign w:val="center"/>
          </w:tcPr>
          <w:p>
            <w:pPr>
              <w:jc w:val="center"/>
              <w:rPr>
                <w:sz w:val="21"/>
                <w:szCs w:val="21"/>
              </w:rPr>
            </w:pPr>
            <w:r>
              <w:rPr>
                <w:sz w:val="21"/>
                <w:szCs w:val="21"/>
              </w:rPr>
              <w:t>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双师双能型教师</w:t>
            </w:r>
          </w:p>
        </w:tc>
        <w:tc>
          <w:tcPr>
            <w:tcW w:w="1843" w:type="dxa"/>
            <w:vAlign w:val="center"/>
          </w:tcPr>
          <w:p>
            <w:pPr>
              <w:jc w:val="center"/>
              <w:rPr>
                <w:sz w:val="21"/>
                <w:szCs w:val="21"/>
              </w:rPr>
            </w:pPr>
            <w:r>
              <w:rPr>
                <w:sz w:val="21"/>
                <w:szCs w:val="21"/>
              </w:rPr>
              <w:t>8</w:t>
            </w:r>
          </w:p>
        </w:tc>
        <w:tc>
          <w:tcPr>
            <w:tcW w:w="1638" w:type="dxa"/>
            <w:vAlign w:val="center"/>
          </w:tcPr>
          <w:p>
            <w:pPr>
              <w:jc w:val="center"/>
              <w:rPr>
                <w:sz w:val="21"/>
                <w:szCs w:val="21"/>
              </w:rPr>
            </w:pPr>
            <w:r>
              <w:rPr>
                <w:sz w:val="21"/>
                <w:szCs w:val="21"/>
              </w:rPr>
              <w:t>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具有行业企业背景</w:t>
            </w:r>
          </w:p>
        </w:tc>
        <w:tc>
          <w:tcPr>
            <w:tcW w:w="1843" w:type="dxa"/>
            <w:vAlign w:val="center"/>
          </w:tcPr>
          <w:p>
            <w:pPr>
              <w:jc w:val="center"/>
              <w:rPr>
                <w:sz w:val="21"/>
                <w:szCs w:val="21"/>
              </w:rPr>
            </w:pPr>
            <w:r>
              <w:rPr>
                <w:sz w:val="21"/>
                <w:szCs w:val="21"/>
              </w:rPr>
              <w:t>2</w:t>
            </w:r>
          </w:p>
        </w:tc>
        <w:tc>
          <w:tcPr>
            <w:tcW w:w="1638" w:type="dxa"/>
            <w:vAlign w:val="center"/>
          </w:tcPr>
          <w:p>
            <w:pPr>
              <w:jc w:val="center"/>
              <w:rPr>
                <w:sz w:val="21"/>
                <w:szCs w:val="21"/>
              </w:rPr>
            </w:pPr>
            <w:r>
              <w:rPr>
                <w:sz w:val="21"/>
                <w:szCs w:val="21"/>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高级职称教师数量</w:t>
            </w:r>
          </w:p>
        </w:tc>
        <w:tc>
          <w:tcPr>
            <w:tcW w:w="1843" w:type="dxa"/>
            <w:vAlign w:val="center"/>
          </w:tcPr>
          <w:p>
            <w:pPr>
              <w:jc w:val="center"/>
              <w:rPr>
                <w:sz w:val="21"/>
                <w:szCs w:val="21"/>
              </w:rPr>
            </w:pPr>
            <w:r>
              <w:rPr>
                <w:sz w:val="21"/>
                <w:szCs w:val="21"/>
              </w:rPr>
              <w:t>7</w:t>
            </w:r>
          </w:p>
        </w:tc>
        <w:tc>
          <w:tcPr>
            <w:tcW w:w="1638" w:type="dxa"/>
            <w:vAlign w:val="center"/>
          </w:tcPr>
          <w:p>
            <w:pPr>
              <w:jc w:val="center"/>
              <w:rPr>
                <w:sz w:val="21"/>
                <w:szCs w:val="21"/>
              </w:rPr>
            </w:pPr>
            <w:r>
              <w:rPr>
                <w:sz w:val="21"/>
                <w:szCs w:val="21"/>
              </w:rPr>
              <w:t>53.85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学年内承担专业课教学的本专业教师数</w:t>
            </w:r>
          </w:p>
        </w:tc>
        <w:tc>
          <w:tcPr>
            <w:tcW w:w="1843" w:type="dxa"/>
            <w:vAlign w:val="center"/>
          </w:tcPr>
          <w:p>
            <w:pPr>
              <w:jc w:val="center"/>
              <w:rPr>
                <w:sz w:val="21"/>
                <w:szCs w:val="21"/>
              </w:rPr>
            </w:pPr>
            <w:r>
              <w:rPr>
                <w:sz w:val="21"/>
                <w:szCs w:val="21"/>
              </w:rPr>
              <w:t>8</w:t>
            </w:r>
            <w:bookmarkStart w:id="45" w:name="OLE_LINK24"/>
            <w:bookmarkEnd w:id="45"/>
          </w:p>
        </w:tc>
        <w:tc>
          <w:tcPr>
            <w:tcW w:w="1638" w:type="dxa"/>
            <w:vAlign w:val="center"/>
          </w:tcPr>
          <w:p>
            <w:pPr>
              <w:jc w:val="center"/>
              <w:rPr>
                <w:sz w:val="21"/>
                <w:szCs w:val="21"/>
              </w:rPr>
            </w:pPr>
            <w:r>
              <w:rPr>
                <w:sz w:val="21"/>
                <w:szCs w:val="21"/>
              </w:rPr>
              <w:t>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2"/>
              </w:rPr>
              <w:t>教授数量</w:t>
            </w:r>
          </w:p>
        </w:tc>
        <w:tc>
          <w:tcPr>
            <w:tcW w:w="1843" w:type="dxa"/>
            <w:vAlign w:val="center"/>
          </w:tcPr>
          <w:p>
            <w:pPr>
              <w:jc w:val="center"/>
              <w:rPr>
                <w:sz w:val="21"/>
                <w:szCs w:val="21"/>
              </w:rPr>
            </w:pPr>
            <w:r>
              <w:rPr>
                <w:sz w:val="21"/>
                <w:szCs w:val="21"/>
              </w:rPr>
              <w:t>2</w:t>
            </w:r>
            <w:bookmarkStart w:id="46" w:name="OLE_LINK25"/>
            <w:bookmarkEnd w:id="46"/>
          </w:p>
        </w:tc>
        <w:tc>
          <w:tcPr>
            <w:tcW w:w="1638" w:type="dxa"/>
            <w:vAlign w:val="center"/>
          </w:tcPr>
          <w:p>
            <w:pPr>
              <w:jc w:val="center"/>
              <w:rPr>
                <w:sz w:val="21"/>
                <w:szCs w:val="21"/>
              </w:rPr>
            </w:pPr>
            <w:r>
              <w:rPr>
                <w:sz w:val="21"/>
                <w:szCs w:val="21"/>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学年内承担专业课课程的教授数量</w:t>
            </w:r>
          </w:p>
        </w:tc>
        <w:tc>
          <w:tcPr>
            <w:tcW w:w="1843" w:type="dxa"/>
            <w:vAlign w:val="center"/>
          </w:tcPr>
          <w:p>
            <w:pPr>
              <w:jc w:val="center"/>
              <w:rPr>
                <w:sz w:val="21"/>
                <w:szCs w:val="21"/>
              </w:rPr>
            </w:pPr>
            <w:r>
              <w:rPr>
                <w:sz w:val="21"/>
                <w:szCs w:val="21"/>
              </w:rPr>
              <w:t>2</w:t>
            </w:r>
          </w:p>
        </w:tc>
        <w:tc>
          <w:tcPr>
            <w:tcW w:w="1638" w:type="dxa"/>
            <w:vAlign w:val="center"/>
          </w:tcPr>
          <w:p>
            <w:pPr>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w:t>
            </w:r>
            <w:r>
              <w:rPr>
                <w:rFonts w:hint="eastAsia"/>
                <w:sz w:val="21"/>
                <w:szCs w:val="22"/>
              </w:rPr>
              <w:t>低年级授课教授数量</w:t>
            </w:r>
          </w:p>
        </w:tc>
        <w:tc>
          <w:tcPr>
            <w:tcW w:w="1843" w:type="dxa"/>
            <w:vAlign w:val="center"/>
          </w:tcPr>
          <w:p>
            <w:pPr>
              <w:jc w:val="center"/>
              <w:rPr>
                <w:sz w:val="21"/>
                <w:szCs w:val="21"/>
              </w:rPr>
            </w:pPr>
            <w:r>
              <w:rPr>
                <w:sz w:val="21"/>
                <w:szCs w:val="21"/>
              </w:rPr>
              <w:t>0</w:t>
            </w:r>
            <w:bookmarkStart w:id="47" w:name="OLE_LINK22"/>
            <w:bookmarkEnd w:id="47"/>
          </w:p>
        </w:tc>
        <w:tc>
          <w:tcPr>
            <w:tcW w:w="1638" w:type="dxa"/>
            <w:vAlign w:val="center"/>
          </w:tcPr>
          <w:p>
            <w:pPr>
              <w:jc w:val="center"/>
              <w:rPr>
                <w:sz w:val="21"/>
                <w:szCs w:val="21"/>
              </w:rPr>
            </w:pPr>
            <w:r>
              <w:rPr>
                <w:sz w:val="21"/>
                <w:szCs w:val="21"/>
              </w:rPr>
              <w:t>0</w:t>
            </w:r>
          </w:p>
        </w:tc>
      </w:tr>
    </w:tbl>
    <w:p>
      <w:pPr>
        <w:rPr>
          <w:rFonts w:ascii="Times New Roman" w:hAnsi="Times New Roman" w:cs="Times New Roman"/>
          <w:sz w:val="21"/>
          <w:szCs w:val="21"/>
        </w:rPr>
      </w:pPr>
      <w:r>
        <w:rPr>
          <w:rFonts w:ascii="Times New Roman" w:hAnsi="Times New Roman" w:cs="Times New Roman"/>
        </w:rPr>
        <w:t>*</w:t>
      </w:r>
      <w:r>
        <w:rPr>
          <w:rFonts w:ascii="Times New Roman" w:hAnsi="Times New Roman" w:cs="Times New Roman"/>
          <w:sz w:val="21"/>
          <w:szCs w:val="21"/>
        </w:rPr>
        <w:t>学年内承担专业课课程的教授比例、学年内</w:t>
      </w:r>
      <w:r>
        <w:rPr>
          <w:rFonts w:ascii="Times New Roman" w:hAnsi="Times New Roman" w:cs="Times New Roman"/>
          <w:sz w:val="21"/>
          <w:szCs w:val="22"/>
        </w:rPr>
        <w:t>低年级授课教授</w:t>
      </w:r>
      <w:r>
        <w:rPr>
          <w:rFonts w:ascii="Times New Roman" w:hAnsi="Times New Roman" w:cs="Times New Roman"/>
          <w:sz w:val="21"/>
          <w:szCs w:val="21"/>
        </w:rPr>
        <w:t>比例 为占专业教授数量的比例。本表仅统计本专业教师。</w:t>
      </w:r>
    </w:p>
    <w:p>
      <w:pPr>
        <w:shd w:val="clear" w:color="auto" w:fill="FFFFFF"/>
        <w:adjustRightInd w:val="0"/>
        <w:snapToGrid w:val="0"/>
        <w:spacing w:before="24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表10</w:t>
      </w:r>
      <w:r>
        <w:rPr>
          <w:rFonts w:ascii="Times New Roman" w:hAnsi="Times New Roman" w:eastAsia="仿宋" w:cs="Times New Roman"/>
          <w:color w:val="000000" w:themeColor="text1"/>
          <w14:textFill>
            <w14:solidFill>
              <w14:schemeClr w14:val="tx1"/>
            </w14:solidFill>
          </w14:textFill>
        </w:rPr>
        <w:t xml:space="preserve"> </w:t>
      </w:r>
      <w:r>
        <w:rPr>
          <w:rFonts w:hint="eastAsia" w:ascii="Times New Roman" w:hAnsi="Times New Roman" w:eastAsia="仿宋" w:cs="Times New Roman"/>
          <w:color w:val="000000" w:themeColor="text1"/>
          <w14:textFill>
            <w14:solidFill>
              <w14:schemeClr w14:val="tx1"/>
            </w14:solidFill>
          </w14:textFill>
        </w:rPr>
        <w:t>专业教师结构</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sz w:val="21"/>
                <w:szCs w:val="21"/>
              </w:rPr>
            </w:pPr>
            <w:r>
              <w:rPr>
                <w:rFonts w:hint="eastAsia"/>
                <w:sz w:val="21"/>
                <w:szCs w:val="21"/>
              </w:rPr>
              <w:t>项目</w:t>
            </w:r>
          </w:p>
        </w:tc>
        <w:tc>
          <w:tcPr>
            <w:tcW w:w="2074" w:type="dxa"/>
            <w:vAlign w:val="center"/>
          </w:tcPr>
          <w:p>
            <w:pPr>
              <w:jc w:val="center"/>
              <w:rPr>
                <w:sz w:val="21"/>
                <w:szCs w:val="21"/>
              </w:rPr>
            </w:pPr>
            <w:r>
              <w:rPr>
                <w:rFonts w:hint="eastAsia"/>
                <w:sz w:val="21"/>
                <w:szCs w:val="21"/>
              </w:rPr>
              <w:t>数量</w:t>
            </w:r>
          </w:p>
        </w:tc>
        <w:tc>
          <w:tcPr>
            <w:tcW w:w="2074"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sz w:val="21"/>
                <w:szCs w:val="21"/>
              </w:rPr>
            </w:pPr>
            <w:r>
              <w:rPr>
                <w:rFonts w:hint="eastAsia"/>
                <w:sz w:val="21"/>
                <w:szCs w:val="21"/>
              </w:rPr>
              <w:t>专业教师总数</w:t>
            </w:r>
          </w:p>
        </w:tc>
        <w:tc>
          <w:tcPr>
            <w:tcW w:w="2074" w:type="dxa"/>
            <w:vAlign w:val="center"/>
          </w:tcPr>
          <w:p>
            <w:pPr>
              <w:jc w:val="center"/>
              <w:rPr>
                <w:sz w:val="21"/>
                <w:szCs w:val="21"/>
              </w:rPr>
            </w:pPr>
            <w:r>
              <w:rPr>
                <w:sz w:val="21"/>
                <w:szCs w:val="21"/>
              </w:rPr>
              <w:t>13</w:t>
            </w:r>
          </w:p>
        </w:tc>
        <w:tc>
          <w:tcPr>
            <w:tcW w:w="2074"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职称</w:t>
            </w:r>
          </w:p>
        </w:tc>
        <w:tc>
          <w:tcPr>
            <w:tcW w:w="2877" w:type="dxa"/>
            <w:gridSpan w:val="2"/>
            <w:vAlign w:val="center"/>
          </w:tcPr>
          <w:p>
            <w:pPr>
              <w:jc w:val="center"/>
              <w:rPr>
                <w:sz w:val="21"/>
                <w:szCs w:val="21"/>
              </w:rPr>
            </w:pPr>
            <w:r>
              <w:rPr>
                <w:rFonts w:hint="eastAsia"/>
                <w:sz w:val="21"/>
                <w:szCs w:val="21"/>
              </w:rPr>
              <w:t>教授</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副教授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讲师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助教</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其他正高级</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其他副高级</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其他中级</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其他初级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未评级</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bookmarkStart w:id="48" w:name="OLE_LINK30"/>
            <w:r>
              <w:rPr>
                <w:rFonts w:hint="eastAsia"/>
                <w:sz w:val="21"/>
                <w:szCs w:val="21"/>
              </w:rPr>
              <w:t>最高学位</w:t>
            </w:r>
            <w:bookmarkEnd w:id="48"/>
          </w:p>
        </w:tc>
        <w:tc>
          <w:tcPr>
            <w:tcW w:w="2877" w:type="dxa"/>
            <w:gridSpan w:val="2"/>
            <w:vAlign w:val="center"/>
          </w:tcPr>
          <w:p>
            <w:pPr>
              <w:jc w:val="center"/>
              <w:rPr>
                <w:sz w:val="21"/>
                <w:szCs w:val="21"/>
              </w:rPr>
            </w:pPr>
            <w:r>
              <w:rPr>
                <w:rFonts w:hint="eastAsia"/>
                <w:sz w:val="21"/>
                <w:szCs w:val="22"/>
              </w:rPr>
              <w:t>博士</w:t>
            </w:r>
          </w:p>
        </w:tc>
        <w:tc>
          <w:tcPr>
            <w:tcW w:w="2074" w:type="dxa"/>
            <w:vAlign w:val="center"/>
          </w:tcPr>
          <w:p>
            <w:pPr>
              <w:jc w:val="center"/>
              <w:rPr>
                <w:sz w:val="21"/>
                <w:szCs w:val="21"/>
              </w:rPr>
            </w:pPr>
            <w:r>
              <w:rPr>
                <w:sz w:val="21"/>
                <w:szCs w:val="21"/>
              </w:rPr>
              <w:t>8</w:t>
            </w:r>
          </w:p>
        </w:tc>
        <w:tc>
          <w:tcPr>
            <w:tcW w:w="2074" w:type="dxa"/>
            <w:vAlign w:val="center"/>
          </w:tcPr>
          <w:p>
            <w:pPr>
              <w:jc w:val="center"/>
              <w:rPr>
                <w:sz w:val="21"/>
                <w:szCs w:val="21"/>
              </w:rPr>
            </w:pPr>
            <w:r>
              <w:rPr>
                <w:sz w:val="21"/>
                <w:szCs w:val="21"/>
              </w:rPr>
              <w:t>61.54</w:t>
            </w:r>
            <w:bookmarkStart w:id="49" w:name="OLE_LINK31"/>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硕士</w:t>
            </w:r>
          </w:p>
        </w:tc>
        <w:tc>
          <w:tcPr>
            <w:tcW w:w="2074" w:type="dxa"/>
            <w:vAlign w:val="center"/>
          </w:tcPr>
          <w:p>
            <w:pPr>
              <w:jc w:val="center"/>
              <w:rPr>
                <w:sz w:val="21"/>
                <w:szCs w:val="21"/>
              </w:rPr>
            </w:pPr>
            <w:r>
              <w:rPr>
                <w:sz w:val="21"/>
                <w:szCs w:val="21"/>
              </w:rPr>
              <w:t>4</w:t>
            </w:r>
          </w:p>
        </w:tc>
        <w:tc>
          <w:tcPr>
            <w:tcW w:w="2074" w:type="dxa"/>
            <w:vAlign w:val="center"/>
          </w:tcPr>
          <w:p>
            <w:pPr>
              <w:jc w:val="center"/>
              <w:rPr>
                <w:sz w:val="21"/>
                <w:szCs w:val="21"/>
              </w:rPr>
            </w:pPr>
            <w:r>
              <w:rPr>
                <w:sz w:val="21"/>
                <w:szCs w:val="21"/>
              </w:rPr>
              <w:t>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学士</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无学位</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年龄</w:t>
            </w: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2074" w:type="dxa"/>
            <w:vAlign w:val="center"/>
          </w:tcPr>
          <w:p>
            <w:pPr>
              <w:jc w:val="center"/>
              <w:rPr>
                <w:sz w:val="21"/>
                <w:szCs w:val="21"/>
              </w:rPr>
            </w:pPr>
            <w:r>
              <w:rPr>
                <w:sz w:val="21"/>
                <w:szCs w:val="21"/>
              </w:rPr>
              <w:t>4</w:t>
            </w:r>
          </w:p>
        </w:tc>
        <w:tc>
          <w:tcPr>
            <w:tcW w:w="2074" w:type="dxa"/>
            <w:vAlign w:val="center"/>
          </w:tcPr>
          <w:p>
            <w:pPr>
              <w:jc w:val="center"/>
              <w:rPr>
                <w:sz w:val="21"/>
                <w:szCs w:val="21"/>
              </w:rPr>
            </w:pPr>
            <w:r>
              <w:rPr>
                <w:sz w:val="21"/>
                <w:szCs w:val="21"/>
              </w:rPr>
              <w:t>30.77</w:t>
            </w:r>
            <w:bookmarkStart w:id="50" w:name="OLE_LINK32"/>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2074" w:type="dxa"/>
            <w:vAlign w:val="center"/>
          </w:tcPr>
          <w:p>
            <w:pPr>
              <w:jc w:val="center"/>
              <w:rPr>
                <w:sz w:val="21"/>
                <w:szCs w:val="21"/>
              </w:rPr>
            </w:pPr>
            <w:r>
              <w:rPr>
                <w:sz w:val="21"/>
                <w:szCs w:val="21"/>
              </w:rPr>
              <w:t>7</w:t>
            </w:r>
          </w:p>
        </w:tc>
        <w:tc>
          <w:tcPr>
            <w:tcW w:w="2074" w:type="dxa"/>
            <w:vAlign w:val="center"/>
          </w:tcPr>
          <w:p>
            <w:pPr>
              <w:jc w:val="center"/>
              <w:rPr>
                <w:sz w:val="21"/>
                <w:szCs w:val="21"/>
              </w:rPr>
            </w:pPr>
            <w:r>
              <w:rPr>
                <w:sz w:val="21"/>
                <w:szCs w:val="21"/>
              </w:rPr>
              <w:t>53.85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学缘</w:t>
            </w:r>
          </w:p>
        </w:tc>
        <w:tc>
          <w:tcPr>
            <w:tcW w:w="2877" w:type="dxa"/>
            <w:gridSpan w:val="2"/>
            <w:vAlign w:val="center"/>
          </w:tcPr>
          <w:p>
            <w:pPr>
              <w:jc w:val="center"/>
              <w:rPr>
                <w:sz w:val="21"/>
                <w:szCs w:val="21"/>
              </w:rPr>
            </w:pPr>
            <w:bookmarkStart w:id="51" w:name="OLE_LINK27"/>
            <w:r>
              <w:rPr>
                <w:rFonts w:hint="eastAsia"/>
                <w:sz w:val="21"/>
                <w:szCs w:val="22"/>
              </w:rPr>
              <w:t>本校</w:t>
            </w:r>
            <w:bookmarkEnd w:id="51"/>
          </w:p>
        </w:tc>
        <w:tc>
          <w:tcPr>
            <w:tcW w:w="2074" w:type="dxa"/>
            <w:vAlign w:val="center"/>
          </w:tcPr>
          <w:p>
            <w:pPr>
              <w:jc w:val="center"/>
              <w:rPr>
                <w:sz w:val="21"/>
                <w:szCs w:val="21"/>
              </w:rPr>
            </w:pPr>
            <w:r>
              <w:rPr>
                <w:sz w:val="21"/>
                <w:szCs w:val="21"/>
              </w:rPr>
              <w:t>3</w:t>
            </w:r>
            <w:bookmarkStart w:id="52" w:name="OLE_LINK29"/>
            <w:bookmarkEnd w:id="52"/>
          </w:p>
        </w:tc>
        <w:tc>
          <w:tcPr>
            <w:tcW w:w="2074" w:type="dxa"/>
            <w:vAlign w:val="center"/>
          </w:tcPr>
          <w:p>
            <w:pPr>
              <w:jc w:val="center"/>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1276" w:type="dxa"/>
            <w:vMerge w:val="restart"/>
            <w:vAlign w:val="center"/>
          </w:tcPr>
          <w:p>
            <w:pPr>
              <w:jc w:val="center"/>
              <w:rPr>
                <w:sz w:val="21"/>
                <w:szCs w:val="21"/>
              </w:rPr>
            </w:pPr>
            <w:bookmarkStart w:id="53" w:name="OLE_LINK28"/>
            <w:r>
              <w:rPr>
                <w:rFonts w:hint="eastAsia"/>
                <w:sz w:val="21"/>
                <w:szCs w:val="22"/>
              </w:rPr>
              <w:t>外校</w:t>
            </w:r>
            <w:bookmarkEnd w:id="53"/>
          </w:p>
        </w:tc>
        <w:tc>
          <w:tcPr>
            <w:tcW w:w="1601" w:type="dxa"/>
            <w:vAlign w:val="center"/>
          </w:tcPr>
          <w:p>
            <w:pPr>
              <w:jc w:val="center"/>
              <w:rPr>
                <w:sz w:val="21"/>
                <w:szCs w:val="21"/>
              </w:rPr>
            </w:pPr>
            <w:r>
              <w:rPr>
                <w:rFonts w:hint="eastAsia"/>
                <w:sz w:val="21"/>
                <w:szCs w:val="22"/>
              </w:rPr>
              <w:t>境内</w:t>
            </w:r>
          </w:p>
        </w:tc>
        <w:tc>
          <w:tcPr>
            <w:tcW w:w="2074" w:type="dxa"/>
            <w:vAlign w:val="center"/>
          </w:tcPr>
          <w:p>
            <w:pPr>
              <w:jc w:val="center"/>
              <w:rPr>
                <w:sz w:val="21"/>
                <w:szCs w:val="21"/>
              </w:rPr>
            </w:pPr>
            <w:r>
              <w:rPr>
                <w:sz w:val="21"/>
                <w:szCs w:val="21"/>
              </w:rPr>
              <w:t>9</w:t>
            </w:r>
          </w:p>
        </w:tc>
        <w:tc>
          <w:tcPr>
            <w:tcW w:w="2074" w:type="dxa"/>
            <w:vAlign w:val="center"/>
          </w:tcPr>
          <w:p>
            <w:pPr>
              <w:jc w:val="center"/>
              <w:rPr>
                <w:sz w:val="21"/>
                <w:szCs w:val="21"/>
              </w:rPr>
            </w:pPr>
            <w:r>
              <w:rPr>
                <w:sz w:val="21"/>
                <w:szCs w:val="21"/>
              </w:rPr>
              <w:t>69.23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1276" w:type="dxa"/>
            <w:vMerge w:val="continue"/>
            <w:vAlign w:val="center"/>
          </w:tcPr>
          <w:p>
            <w:pPr>
              <w:jc w:val="center"/>
              <w:rPr>
                <w:sz w:val="21"/>
                <w:szCs w:val="21"/>
              </w:rPr>
            </w:pPr>
          </w:p>
        </w:tc>
        <w:tc>
          <w:tcPr>
            <w:tcW w:w="1601" w:type="dxa"/>
            <w:vAlign w:val="center"/>
          </w:tcPr>
          <w:p>
            <w:pPr>
              <w:jc w:val="center"/>
              <w:rPr>
                <w:sz w:val="21"/>
                <w:szCs w:val="21"/>
              </w:rPr>
            </w:pPr>
            <w:r>
              <w:rPr>
                <w:rFonts w:hint="eastAsia"/>
                <w:sz w:val="21"/>
                <w:szCs w:val="22"/>
              </w:rPr>
              <w:t>境外</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7.69</w:t>
            </w:r>
          </w:p>
        </w:tc>
      </w:tr>
    </w:tbl>
    <w:p>
      <w:pPr>
        <w:rPr>
          <w:rFonts w:ascii="Times New Roman" w:hAnsi="Times New Roman" w:cs="Times New Roman"/>
        </w:rPr>
      </w:pPr>
    </w:p>
    <w:p>
      <w:pPr>
        <w:pStyle w:val="4"/>
        <w:adjustRightInd w:val="0"/>
        <w:snapToGrid w:val="0"/>
        <w:spacing w:before="0" w:after="0" w:line="360" w:lineRule="auto"/>
        <w:rPr>
          <w:rFonts w:ascii="宋体" w:hAnsi="宋体" w:eastAsia="宋体" w:cs="Times New Roman"/>
          <w:sz w:val="24"/>
          <w:szCs w:val="24"/>
        </w:rPr>
      </w:pPr>
      <w:bookmarkStart w:id="54" w:name="_Toc160210535"/>
      <w:r>
        <w:rPr>
          <w:rFonts w:ascii="宋体" w:hAnsi="宋体" w:eastAsia="宋体" w:cs="Times New Roman"/>
          <w:sz w:val="24"/>
          <w:szCs w:val="24"/>
        </w:rPr>
        <w:t>4.2授课师资分析</w:t>
      </w:r>
      <w:bookmarkEnd w:id="54"/>
    </w:p>
    <w:p>
      <w:pPr>
        <w:shd w:val="clear" w:color="auto" w:fill="FFFFFF"/>
        <w:adjustRightInd w:val="0"/>
        <w:snapToGrid w:val="0"/>
        <w:spacing w:line="360" w:lineRule="auto"/>
        <w:ind w:firstLine="480" w:firstLine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专业课程均由骨干教师承担，各门课程主讲教师100%具有讲师以上职称，高级职称教师100%承担专业课程教学任务。</w:t>
      </w:r>
      <w:r>
        <w:rPr>
          <w:rFonts w:cs="Times New Roman"/>
          <w:b/>
          <w:bCs/>
          <w:kern w:val="2"/>
        </w:rPr>
        <w:t xml:space="preserve"> </w:t>
      </w:r>
    </w:p>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表11</w:t>
      </w:r>
      <w:r>
        <w:rPr>
          <w:rFonts w:ascii="Times New Roman" w:hAnsi="Times New Roman" w:eastAsia="仿宋"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14:textFill>
            <w14:solidFill>
              <w14:schemeClr w14:val="tx1"/>
            </w14:solidFill>
          </w14:textFill>
        </w:rPr>
        <w:t>专业课校内授课教师职称情况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1"/>
        <w:gridCol w:w="1822"/>
        <w:gridCol w:w="206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82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822"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bookmarkStart w:id="55" w:name="OLE_LINK33"/>
            <w:r>
              <w:rPr>
                <w:rFonts w:hint="eastAsia"/>
                <w:sz w:val="21"/>
                <w:szCs w:val="21"/>
              </w:rPr>
              <w:t>核心课授课</w:t>
            </w:r>
            <w:bookmarkEnd w:id="55"/>
            <w:r>
              <w:rPr>
                <w:rFonts w:hint="eastAsia"/>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总数</w:t>
            </w:r>
          </w:p>
        </w:tc>
        <w:tc>
          <w:tcPr>
            <w:tcW w:w="1821" w:type="dxa"/>
            <w:vAlign w:val="center"/>
          </w:tcPr>
          <w:p>
            <w:pPr>
              <w:jc w:val="center"/>
              <w:rPr>
                <w:sz w:val="21"/>
                <w:szCs w:val="21"/>
              </w:rPr>
            </w:pPr>
            <w:r>
              <w:rPr>
                <w:sz w:val="21"/>
                <w:szCs w:val="21"/>
              </w:rPr>
              <w:t>98</w:t>
            </w:r>
          </w:p>
        </w:tc>
        <w:tc>
          <w:tcPr>
            <w:tcW w:w="1822" w:type="dxa"/>
            <w:vAlign w:val="center"/>
          </w:tcPr>
          <w:p>
            <w:pPr>
              <w:jc w:val="center"/>
              <w:rPr>
                <w:sz w:val="21"/>
                <w:szCs w:val="21"/>
              </w:rPr>
            </w:pPr>
            <w:r>
              <w:rPr>
                <w:rFonts w:hint="eastAsia"/>
                <w:sz w:val="21"/>
                <w:szCs w:val="21"/>
              </w:rPr>
              <w:t>/</w:t>
            </w:r>
          </w:p>
        </w:tc>
        <w:tc>
          <w:tcPr>
            <w:tcW w:w="2060" w:type="dxa"/>
            <w:vAlign w:val="center"/>
          </w:tcPr>
          <w:p>
            <w:pPr>
              <w:jc w:val="center"/>
              <w:rPr>
                <w:sz w:val="21"/>
                <w:szCs w:val="21"/>
              </w:rPr>
            </w:pPr>
            <w:r>
              <w:rPr>
                <w:sz w:val="21"/>
                <w:szCs w:val="21"/>
              </w:rPr>
              <w:t>31</w:t>
            </w:r>
          </w:p>
        </w:tc>
        <w:tc>
          <w:tcPr>
            <w:tcW w:w="2060"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教授</w:t>
            </w:r>
          </w:p>
        </w:tc>
        <w:tc>
          <w:tcPr>
            <w:tcW w:w="1821" w:type="dxa"/>
            <w:vAlign w:val="center"/>
          </w:tcPr>
          <w:p>
            <w:pPr>
              <w:jc w:val="center"/>
              <w:rPr>
                <w:sz w:val="21"/>
                <w:szCs w:val="21"/>
              </w:rPr>
            </w:pPr>
            <w:r>
              <w:rPr>
                <w:sz w:val="21"/>
                <w:szCs w:val="21"/>
              </w:rPr>
              <w:t>15</w:t>
            </w:r>
          </w:p>
        </w:tc>
        <w:tc>
          <w:tcPr>
            <w:tcW w:w="1822" w:type="dxa"/>
            <w:vAlign w:val="center"/>
          </w:tcPr>
          <w:p>
            <w:pPr>
              <w:jc w:val="center"/>
              <w:rPr>
                <w:sz w:val="21"/>
                <w:szCs w:val="21"/>
              </w:rPr>
            </w:pPr>
            <w:r>
              <w:rPr>
                <w:sz w:val="21"/>
                <w:szCs w:val="21"/>
              </w:rPr>
              <w:t>15.31</w:t>
            </w:r>
          </w:p>
        </w:tc>
        <w:tc>
          <w:tcPr>
            <w:tcW w:w="2060" w:type="dxa"/>
            <w:vAlign w:val="center"/>
          </w:tcPr>
          <w:p>
            <w:pPr>
              <w:jc w:val="center"/>
              <w:rPr>
                <w:sz w:val="21"/>
                <w:szCs w:val="21"/>
              </w:rPr>
            </w:pPr>
            <w:r>
              <w:rPr>
                <w:sz w:val="21"/>
                <w:szCs w:val="21"/>
              </w:rPr>
              <w:t>5</w:t>
            </w:r>
          </w:p>
        </w:tc>
        <w:tc>
          <w:tcPr>
            <w:tcW w:w="2060" w:type="dxa"/>
            <w:vAlign w:val="center"/>
          </w:tcPr>
          <w:p>
            <w:pPr>
              <w:jc w:val="center"/>
              <w:rPr>
                <w:sz w:val="21"/>
                <w:szCs w:val="21"/>
              </w:rPr>
            </w:pPr>
            <w:r>
              <w:rPr>
                <w:sz w:val="21"/>
                <w:szCs w:val="21"/>
              </w:rPr>
              <w:t>16.13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副教授</w:t>
            </w:r>
          </w:p>
        </w:tc>
        <w:tc>
          <w:tcPr>
            <w:tcW w:w="1821" w:type="dxa"/>
            <w:vAlign w:val="center"/>
          </w:tcPr>
          <w:p>
            <w:pPr>
              <w:jc w:val="center"/>
              <w:rPr>
                <w:sz w:val="21"/>
                <w:szCs w:val="21"/>
              </w:rPr>
            </w:pPr>
            <w:r>
              <w:rPr>
                <w:sz w:val="21"/>
                <w:szCs w:val="21"/>
              </w:rPr>
              <w:t>37</w:t>
            </w:r>
          </w:p>
        </w:tc>
        <w:tc>
          <w:tcPr>
            <w:tcW w:w="1822" w:type="dxa"/>
            <w:vAlign w:val="center"/>
          </w:tcPr>
          <w:p>
            <w:pPr>
              <w:jc w:val="center"/>
              <w:rPr>
                <w:sz w:val="21"/>
                <w:szCs w:val="21"/>
              </w:rPr>
            </w:pPr>
            <w:r>
              <w:rPr>
                <w:sz w:val="21"/>
                <w:szCs w:val="21"/>
              </w:rPr>
              <w:t>37.76</w:t>
            </w:r>
          </w:p>
        </w:tc>
        <w:tc>
          <w:tcPr>
            <w:tcW w:w="2060" w:type="dxa"/>
            <w:vAlign w:val="center"/>
          </w:tcPr>
          <w:p>
            <w:pPr>
              <w:jc w:val="center"/>
              <w:rPr>
                <w:sz w:val="21"/>
                <w:szCs w:val="21"/>
              </w:rPr>
            </w:pPr>
            <w:r>
              <w:rPr>
                <w:sz w:val="21"/>
                <w:szCs w:val="21"/>
              </w:rPr>
              <w:t>12</w:t>
            </w:r>
          </w:p>
        </w:tc>
        <w:tc>
          <w:tcPr>
            <w:tcW w:w="2060" w:type="dxa"/>
            <w:vAlign w:val="center"/>
          </w:tcPr>
          <w:p>
            <w:pPr>
              <w:jc w:val="center"/>
              <w:rPr>
                <w:sz w:val="21"/>
                <w:szCs w:val="21"/>
              </w:rPr>
            </w:pPr>
            <w:r>
              <w:rPr>
                <w:sz w:val="21"/>
                <w:szCs w:val="21"/>
              </w:rPr>
              <w:t>38.71</w:t>
            </w:r>
            <w:bookmarkStart w:id="56" w:name="OLE_LINK34"/>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讲师</w:t>
            </w:r>
          </w:p>
        </w:tc>
        <w:tc>
          <w:tcPr>
            <w:tcW w:w="1821" w:type="dxa"/>
            <w:vAlign w:val="center"/>
          </w:tcPr>
          <w:p>
            <w:pPr>
              <w:jc w:val="center"/>
              <w:rPr>
                <w:sz w:val="21"/>
                <w:szCs w:val="21"/>
              </w:rPr>
            </w:pPr>
            <w:r>
              <w:rPr>
                <w:sz w:val="21"/>
                <w:szCs w:val="21"/>
              </w:rPr>
              <w:t>40</w:t>
            </w:r>
          </w:p>
        </w:tc>
        <w:tc>
          <w:tcPr>
            <w:tcW w:w="1822" w:type="dxa"/>
            <w:vAlign w:val="center"/>
          </w:tcPr>
          <w:p>
            <w:pPr>
              <w:jc w:val="center"/>
              <w:rPr>
                <w:sz w:val="21"/>
                <w:szCs w:val="21"/>
              </w:rPr>
            </w:pPr>
            <w:r>
              <w:rPr>
                <w:sz w:val="21"/>
                <w:szCs w:val="21"/>
              </w:rPr>
              <w:t>40.82</w:t>
            </w:r>
          </w:p>
        </w:tc>
        <w:tc>
          <w:tcPr>
            <w:tcW w:w="2060" w:type="dxa"/>
            <w:vAlign w:val="center"/>
          </w:tcPr>
          <w:p>
            <w:pPr>
              <w:jc w:val="center"/>
              <w:rPr>
                <w:sz w:val="21"/>
                <w:szCs w:val="21"/>
              </w:rPr>
            </w:pPr>
            <w:r>
              <w:rPr>
                <w:sz w:val="21"/>
                <w:szCs w:val="21"/>
              </w:rPr>
              <w:t>10</w:t>
            </w:r>
          </w:p>
        </w:tc>
        <w:tc>
          <w:tcPr>
            <w:tcW w:w="2060" w:type="dxa"/>
            <w:vAlign w:val="center"/>
          </w:tcPr>
          <w:p>
            <w:pPr>
              <w:jc w:val="center"/>
              <w:rPr>
                <w:sz w:val="21"/>
                <w:szCs w:val="21"/>
              </w:rPr>
            </w:pPr>
            <w:r>
              <w:rPr>
                <w:sz w:val="21"/>
                <w:szCs w:val="21"/>
              </w:rPr>
              <w:t>32.26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助教</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其他正高级</w:t>
            </w:r>
          </w:p>
        </w:tc>
        <w:tc>
          <w:tcPr>
            <w:tcW w:w="1821" w:type="dxa"/>
            <w:vAlign w:val="center"/>
          </w:tcPr>
          <w:p>
            <w:pPr>
              <w:jc w:val="center"/>
              <w:rPr>
                <w:sz w:val="21"/>
                <w:szCs w:val="21"/>
              </w:rPr>
            </w:pPr>
            <w:r>
              <w:rPr>
                <w:sz w:val="21"/>
                <w:szCs w:val="21"/>
              </w:rPr>
              <w:t>1</w:t>
            </w:r>
          </w:p>
        </w:tc>
        <w:tc>
          <w:tcPr>
            <w:tcW w:w="1822" w:type="dxa"/>
            <w:vAlign w:val="center"/>
          </w:tcPr>
          <w:p>
            <w:pPr>
              <w:jc w:val="center"/>
              <w:rPr>
                <w:sz w:val="21"/>
                <w:szCs w:val="21"/>
              </w:rPr>
            </w:pPr>
            <w:r>
              <w:rPr>
                <w:sz w:val="21"/>
                <w:szCs w:val="21"/>
              </w:rPr>
              <w:t>1.02</w:t>
            </w:r>
          </w:p>
        </w:tc>
        <w:tc>
          <w:tcPr>
            <w:tcW w:w="2060" w:type="dxa"/>
            <w:vAlign w:val="center"/>
          </w:tcPr>
          <w:p>
            <w:pPr>
              <w:jc w:val="center"/>
              <w:rPr>
                <w:sz w:val="21"/>
                <w:szCs w:val="21"/>
              </w:rPr>
            </w:pPr>
            <w:r>
              <w:rPr>
                <w:sz w:val="21"/>
                <w:szCs w:val="21"/>
              </w:rPr>
              <w:t>1</w:t>
            </w:r>
          </w:p>
        </w:tc>
        <w:tc>
          <w:tcPr>
            <w:tcW w:w="2060" w:type="dxa"/>
            <w:vAlign w:val="center"/>
          </w:tcPr>
          <w:p>
            <w:pPr>
              <w:jc w:val="center"/>
              <w:rPr>
                <w:sz w:val="21"/>
                <w:szCs w:val="21"/>
              </w:rPr>
            </w:pPr>
            <w:r>
              <w:rPr>
                <w:sz w:val="21"/>
                <w:szCs w:val="21"/>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其他副高级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其他中级</w:t>
            </w:r>
          </w:p>
        </w:tc>
        <w:tc>
          <w:tcPr>
            <w:tcW w:w="1821" w:type="dxa"/>
            <w:vAlign w:val="center"/>
          </w:tcPr>
          <w:p>
            <w:pPr>
              <w:jc w:val="center"/>
              <w:rPr>
                <w:sz w:val="21"/>
                <w:szCs w:val="21"/>
              </w:rPr>
            </w:pPr>
            <w:r>
              <w:rPr>
                <w:sz w:val="21"/>
                <w:szCs w:val="21"/>
              </w:rPr>
              <w:t>5</w:t>
            </w:r>
          </w:p>
        </w:tc>
        <w:tc>
          <w:tcPr>
            <w:tcW w:w="1822" w:type="dxa"/>
            <w:vAlign w:val="center"/>
          </w:tcPr>
          <w:p>
            <w:pPr>
              <w:jc w:val="center"/>
              <w:rPr>
                <w:sz w:val="21"/>
                <w:szCs w:val="21"/>
              </w:rPr>
            </w:pPr>
            <w:r>
              <w:rPr>
                <w:sz w:val="21"/>
                <w:szCs w:val="21"/>
              </w:rPr>
              <w:t>5.1</w:t>
            </w:r>
          </w:p>
        </w:tc>
        <w:tc>
          <w:tcPr>
            <w:tcW w:w="2060" w:type="dxa"/>
            <w:vAlign w:val="center"/>
          </w:tcPr>
          <w:p>
            <w:pPr>
              <w:jc w:val="center"/>
              <w:rPr>
                <w:sz w:val="21"/>
                <w:szCs w:val="21"/>
              </w:rPr>
            </w:pPr>
            <w:r>
              <w:rPr>
                <w:sz w:val="21"/>
                <w:szCs w:val="21"/>
              </w:rPr>
              <w:t>3</w:t>
            </w:r>
          </w:p>
        </w:tc>
        <w:tc>
          <w:tcPr>
            <w:tcW w:w="2060" w:type="dxa"/>
            <w:vAlign w:val="center"/>
          </w:tcPr>
          <w:p>
            <w:pPr>
              <w:jc w:val="center"/>
              <w:rPr>
                <w:sz w:val="21"/>
                <w:szCs w:val="21"/>
              </w:rPr>
            </w:pPr>
            <w:r>
              <w:rPr>
                <w:sz w:val="21"/>
                <w:szCs w:val="21"/>
              </w:rPr>
              <w:t>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其他初级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未评级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bl>
    <w:p>
      <w:pPr>
        <w:shd w:val="clear" w:color="auto" w:fill="FFFFFF"/>
        <w:adjustRightInd w:val="0"/>
        <w:snapToGrid w:val="0"/>
        <w:rPr>
          <w:rFonts w:ascii="Times New Roman" w:hAnsi="Times New Roman" w:eastAsia="仿宋" w:cs="Times New Roman"/>
          <w:color w:val="000000" w:themeColor="text1"/>
          <w14:textFill>
            <w14:solidFill>
              <w14:schemeClr w14:val="tx1"/>
            </w14:solidFill>
          </w14:textFill>
        </w:rPr>
      </w:pPr>
    </w:p>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表12</w:t>
      </w:r>
      <w:r>
        <w:rPr>
          <w:rFonts w:ascii="Times New Roman" w:hAnsi="Times New Roman" w:eastAsia="仿宋" w:cs="Times New Roman"/>
          <w:color w:val="000000" w:themeColor="text1"/>
          <w14:textFill>
            <w14:solidFill>
              <w14:schemeClr w14:val="tx1"/>
            </w14:solidFill>
          </w14:textFill>
        </w:rPr>
        <w:t xml:space="preserve"> 专业课校内授课教师最高学位情况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博士</w:t>
            </w:r>
          </w:p>
        </w:tc>
        <w:tc>
          <w:tcPr>
            <w:tcW w:w="1776" w:type="dxa"/>
            <w:vAlign w:val="center"/>
          </w:tcPr>
          <w:p>
            <w:pPr>
              <w:jc w:val="center"/>
              <w:rPr>
                <w:sz w:val="21"/>
                <w:szCs w:val="21"/>
              </w:rPr>
            </w:pPr>
            <w:r>
              <w:rPr>
                <w:sz w:val="21"/>
                <w:szCs w:val="21"/>
              </w:rPr>
              <w:t>75</w:t>
            </w:r>
          </w:p>
        </w:tc>
        <w:tc>
          <w:tcPr>
            <w:tcW w:w="1628" w:type="dxa"/>
            <w:vAlign w:val="center"/>
          </w:tcPr>
          <w:p>
            <w:pPr>
              <w:jc w:val="center"/>
              <w:rPr>
                <w:sz w:val="21"/>
                <w:szCs w:val="21"/>
              </w:rPr>
            </w:pPr>
            <w:r>
              <w:rPr>
                <w:sz w:val="21"/>
                <w:szCs w:val="21"/>
              </w:rPr>
              <w:t>76.53</w:t>
            </w:r>
          </w:p>
        </w:tc>
        <w:tc>
          <w:tcPr>
            <w:tcW w:w="2074" w:type="dxa"/>
            <w:vAlign w:val="center"/>
          </w:tcPr>
          <w:p>
            <w:pPr>
              <w:jc w:val="center"/>
              <w:rPr>
                <w:sz w:val="21"/>
                <w:szCs w:val="21"/>
              </w:rPr>
            </w:pPr>
            <w:r>
              <w:rPr>
                <w:sz w:val="21"/>
                <w:szCs w:val="21"/>
              </w:rPr>
              <w:t>23</w:t>
            </w:r>
          </w:p>
        </w:tc>
        <w:tc>
          <w:tcPr>
            <w:tcW w:w="1925" w:type="dxa"/>
            <w:vAlign w:val="center"/>
          </w:tcPr>
          <w:p>
            <w:pPr>
              <w:jc w:val="center"/>
              <w:rPr>
                <w:sz w:val="21"/>
                <w:szCs w:val="21"/>
              </w:rPr>
            </w:pPr>
            <w:r>
              <w:rPr>
                <w:sz w:val="21"/>
                <w:szCs w:val="21"/>
              </w:rPr>
              <w:t>74.19</w:t>
            </w:r>
            <w:bookmarkStart w:id="57" w:name="OLE_LINK3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硕士</w:t>
            </w:r>
          </w:p>
        </w:tc>
        <w:tc>
          <w:tcPr>
            <w:tcW w:w="1776" w:type="dxa"/>
            <w:vAlign w:val="center"/>
          </w:tcPr>
          <w:p>
            <w:pPr>
              <w:jc w:val="center"/>
              <w:rPr>
                <w:sz w:val="21"/>
                <w:szCs w:val="21"/>
              </w:rPr>
            </w:pPr>
            <w:r>
              <w:rPr>
                <w:sz w:val="21"/>
                <w:szCs w:val="21"/>
              </w:rPr>
              <w:t>23</w:t>
            </w:r>
          </w:p>
        </w:tc>
        <w:tc>
          <w:tcPr>
            <w:tcW w:w="1628" w:type="dxa"/>
            <w:vAlign w:val="center"/>
          </w:tcPr>
          <w:p>
            <w:pPr>
              <w:jc w:val="center"/>
              <w:rPr>
                <w:sz w:val="21"/>
                <w:szCs w:val="21"/>
              </w:rPr>
            </w:pPr>
            <w:r>
              <w:rPr>
                <w:sz w:val="21"/>
                <w:szCs w:val="21"/>
              </w:rPr>
              <w:t>23.47</w:t>
            </w:r>
            <w:bookmarkStart w:id="58" w:name="OLE_LINK35"/>
            <w:bookmarkEnd w:id="58"/>
          </w:p>
        </w:tc>
        <w:tc>
          <w:tcPr>
            <w:tcW w:w="2074" w:type="dxa"/>
            <w:vAlign w:val="center"/>
          </w:tcPr>
          <w:p>
            <w:pPr>
              <w:jc w:val="center"/>
              <w:rPr>
                <w:sz w:val="21"/>
                <w:szCs w:val="21"/>
              </w:rPr>
            </w:pPr>
            <w:r>
              <w:rPr>
                <w:sz w:val="21"/>
                <w:szCs w:val="21"/>
              </w:rPr>
              <w:t>8</w:t>
            </w:r>
          </w:p>
        </w:tc>
        <w:tc>
          <w:tcPr>
            <w:tcW w:w="1925" w:type="dxa"/>
            <w:vAlign w:val="center"/>
          </w:tcPr>
          <w:p>
            <w:pPr>
              <w:jc w:val="center"/>
              <w:rPr>
                <w:sz w:val="21"/>
                <w:szCs w:val="21"/>
              </w:rPr>
            </w:pPr>
            <w:r>
              <w:rPr>
                <w:sz w:val="21"/>
                <w:szCs w:val="21"/>
              </w:rPr>
              <w:t>25.81</w:t>
            </w:r>
            <w:bookmarkStart w:id="59" w:name="OLE_LINK37"/>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学士</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无学位</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bookmarkStart w:id="60" w:name="OLE_LINK38"/>
            <w:bookmarkEnd w:id="60"/>
          </w:p>
        </w:tc>
      </w:tr>
    </w:tbl>
    <w:p>
      <w:pPr>
        <w:shd w:val="clear" w:color="auto" w:fill="FFFFFF"/>
        <w:adjustRightInd w:val="0"/>
        <w:snapToGrid w:val="0"/>
        <w:spacing w:before="24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表13</w:t>
      </w:r>
      <w:r>
        <w:rPr>
          <w:rFonts w:ascii="Times New Roman" w:hAnsi="Times New Roman" w:eastAsia="仿宋" w:cs="Times New Roman"/>
          <w:color w:val="000000" w:themeColor="text1"/>
          <w14:textFill>
            <w14:solidFill>
              <w14:schemeClr w14:val="tx1"/>
            </w14:solidFill>
          </w14:textFill>
        </w:rPr>
        <w:t xml:space="preserve"> 专业课校内授课教师年龄情况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93"/>
        <w:gridCol w:w="1754"/>
        <w:gridCol w:w="1916"/>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59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5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1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1593" w:type="dxa"/>
            <w:vAlign w:val="center"/>
          </w:tcPr>
          <w:p>
            <w:pPr>
              <w:jc w:val="center"/>
              <w:rPr>
                <w:sz w:val="21"/>
                <w:szCs w:val="21"/>
              </w:rPr>
            </w:pPr>
            <w:r>
              <w:rPr>
                <w:sz w:val="21"/>
                <w:szCs w:val="21"/>
              </w:rPr>
              <w:t>16</w:t>
            </w:r>
          </w:p>
        </w:tc>
        <w:tc>
          <w:tcPr>
            <w:tcW w:w="1754" w:type="dxa"/>
            <w:vAlign w:val="center"/>
          </w:tcPr>
          <w:p>
            <w:pPr>
              <w:jc w:val="center"/>
              <w:rPr>
                <w:sz w:val="21"/>
                <w:szCs w:val="21"/>
              </w:rPr>
            </w:pPr>
            <w:r>
              <w:rPr>
                <w:sz w:val="21"/>
                <w:szCs w:val="21"/>
              </w:rPr>
              <w:t>16.33</w:t>
            </w:r>
          </w:p>
        </w:tc>
        <w:tc>
          <w:tcPr>
            <w:tcW w:w="1916" w:type="dxa"/>
            <w:vAlign w:val="center"/>
          </w:tcPr>
          <w:p>
            <w:pPr>
              <w:jc w:val="center"/>
              <w:rPr>
                <w:sz w:val="21"/>
                <w:szCs w:val="21"/>
              </w:rPr>
            </w:pPr>
            <w:r>
              <w:rPr>
                <w:sz w:val="21"/>
                <w:szCs w:val="21"/>
              </w:rPr>
              <w:t>6</w:t>
            </w:r>
          </w:p>
        </w:tc>
        <w:tc>
          <w:tcPr>
            <w:tcW w:w="2078" w:type="dxa"/>
            <w:vAlign w:val="center"/>
          </w:tcPr>
          <w:p>
            <w:pPr>
              <w:jc w:val="center"/>
              <w:rPr>
                <w:sz w:val="21"/>
                <w:szCs w:val="21"/>
              </w:rPr>
            </w:pPr>
            <w:r>
              <w:rPr>
                <w:sz w:val="21"/>
                <w:szCs w:val="21"/>
              </w:rPr>
              <w:t>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1593" w:type="dxa"/>
            <w:vAlign w:val="center"/>
          </w:tcPr>
          <w:p>
            <w:pPr>
              <w:jc w:val="center"/>
              <w:rPr>
                <w:sz w:val="21"/>
                <w:szCs w:val="21"/>
              </w:rPr>
            </w:pPr>
            <w:r>
              <w:rPr>
                <w:sz w:val="21"/>
                <w:szCs w:val="21"/>
              </w:rPr>
              <w:t>49</w:t>
            </w:r>
          </w:p>
        </w:tc>
        <w:tc>
          <w:tcPr>
            <w:tcW w:w="1754" w:type="dxa"/>
            <w:vAlign w:val="center"/>
          </w:tcPr>
          <w:p>
            <w:pPr>
              <w:jc w:val="center"/>
              <w:rPr>
                <w:sz w:val="21"/>
                <w:szCs w:val="21"/>
              </w:rPr>
            </w:pPr>
            <w:r>
              <w:rPr>
                <w:sz w:val="21"/>
                <w:szCs w:val="21"/>
              </w:rPr>
              <w:t>50</w:t>
            </w:r>
          </w:p>
        </w:tc>
        <w:tc>
          <w:tcPr>
            <w:tcW w:w="1916" w:type="dxa"/>
            <w:vAlign w:val="center"/>
          </w:tcPr>
          <w:p>
            <w:pPr>
              <w:jc w:val="center"/>
              <w:rPr>
                <w:sz w:val="21"/>
                <w:szCs w:val="21"/>
              </w:rPr>
            </w:pPr>
            <w:r>
              <w:rPr>
                <w:sz w:val="21"/>
                <w:szCs w:val="21"/>
              </w:rPr>
              <w:t>11</w:t>
            </w:r>
          </w:p>
        </w:tc>
        <w:tc>
          <w:tcPr>
            <w:tcW w:w="2078" w:type="dxa"/>
            <w:vAlign w:val="center"/>
          </w:tcPr>
          <w:p>
            <w:pPr>
              <w:jc w:val="center"/>
              <w:rPr>
                <w:sz w:val="21"/>
                <w:szCs w:val="21"/>
              </w:rPr>
            </w:pPr>
            <w:r>
              <w:rPr>
                <w:sz w:val="21"/>
                <w:szCs w:val="21"/>
              </w:rPr>
              <w:t>35.48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1593" w:type="dxa"/>
            <w:vAlign w:val="center"/>
          </w:tcPr>
          <w:p>
            <w:pPr>
              <w:jc w:val="center"/>
              <w:rPr>
                <w:sz w:val="21"/>
                <w:szCs w:val="21"/>
              </w:rPr>
            </w:pPr>
            <w:r>
              <w:rPr>
                <w:sz w:val="21"/>
                <w:szCs w:val="21"/>
              </w:rPr>
              <w:t>27</w:t>
            </w:r>
          </w:p>
        </w:tc>
        <w:tc>
          <w:tcPr>
            <w:tcW w:w="1754" w:type="dxa"/>
            <w:vAlign w:val="center"/>
          </w:tcPr>
          <w:p>
            <w:pPr>
              <w:jc w:val="center"/>
              <w:rPr>
                <w:sz w:val="21"/>
                <w:szCs w:val="21"/>
              </w:rPr>
            </w:pPr>
            <w:r>
              <w:rPr>
                <w:sz w:val="21"/>
                <w:szCs w:val="21"/>
              </w:rPr>
              <w:t>27.55</w:t>
            </w:r>
          </w:p>
        </w:tc>
        <w:tc>
          <w:tcPr>
            <w:tcW w:w="1916" w:type="dxa"/>
            <w:vAlign w:val="center"/>
          </w:tcPr>
          <w:p>
            <w:pPr>
              <w:jc w:val="center"/>
              <w:rPr>
                <w:sz w:val="21"/>
                <w:szCs w:val="21"/>
              </w:rPr>
            </w:pPr>
            <w:r>
              <w:rPr>
                <w:sz w:val="21"/>
                <w:szCs w:val="21"/>
              </w:rPr>
              <w:t>12</w:t>
            </w:r>
          </w:p>
        </w:tc>
        <w:tc>
          <w:tcPr>
            <w:tcW w:w="2078" w:type="dxa"/>
            <w:vAlign w:val="center"/>
          </w:tcPr>
          <w:p>
            <w:pPr>
              <w:jc w:val="center"/>
              <w:rPr>
                <w:sz w:val="21"/>
                <w:szCs w:val="21"/>
              </w:rPr>
            </w:pPr>
            <w:r>
              <w:rPr>
                <w:sz w:val="21"/>
                <w:szCs w:val="21"/>
              </w:rPr>
              <w:t>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1593" w:type="dxa"/>
            <w:vAlign w:val="center"/>
          </w:tcPr>
          <w:p>
            <w:pPr>
              <w:jc w:val="center"/>
              <w:rPr>
                <w:sz w:val="21"/>
                <w:szCs w:val="21"/>
              </w:rPr>
            </w:pPr>
            <w:r>
              <w:rPr>
                <w:sz w:val="21"/>
                <w:szCs w:val="21"/>
              </w:rPr>
              <w:t>6</w:t>
            </w:r>
          </w:p>
        </w:tc>
        <w:tc>
          <w:tcPr>
            <w:tcW w:w="1754" w:type="dxa"/>
            <w:vAlign w:val="center"/>
          </w:tcPr>
          <w:p>
            <w:pPr>
              <w:jc w:val="center"/>
              <w:rPr>
                <w:sz w:val="21"/>
                <w:szCs w:val="21"/>
              </w:rPr>
            </w:pPr>
            <w:r>
              <w:rPr>
                <w:sz w:val="21"/>
                <w:szCs w:val="21"/>
              </w:rPr>
              <w:t>6.12</w:t>
            </w:r>
          </w:p>
        </w:tc>
        <w:tc>
          <w:tcPr>
            <w:tcW w:w="1916" w:type="dxa"/>
            <w:vAlign w:val="center"/>
          </w:tcPr>
          <w:p>
            <w:pPr>
              <w:jc w:val="center"/>
              <w:rPr>
                <w:sz w:val="21"/>
                <w:szCs w:val="21"/>
              </w:rPr>
            </w:pPr>
            <w:r>
              <w:rPr>
                <w:sz w:val="21"/>
                <w:szCs w:val="21"/>
              </w:rPr>
              <w:t>2</w:t>
            </w:r>
          </w:p>
        </w:tc>
        <w:tc>
          <w:tcPr>
            <w:tcW w:w="2078" w:type="dxa"/>
            <w:vAlign w:val="center"/>
          </w:tcPr>
          <w:p>
            <w:pPr>
              <w:jc w:val="center"/>
              <w:rPr>
                <w:sz w:val="21"/>
                <w:szCs w:val="21"/>
              </w:rPr>
            </w:pPr>
            <w:r>
              <w:rPr>
                <w:sz w:val="21"/>
                <w:szCs w:val="21"/>
              </w:rPr>
              <w:t>6.45</w:t>
            </w:r>
            <w:bookmarkStart w:id="61" w:name="OLE_LINK40"/>
            <w:bookmarkEnd w:id="61"/>
          </w:p>
        </w:tc>
      </w:tr>
    </w:tbl>
    <w:p>
      <w:pPr>
        <w:shd w:val="clear" w:color="auto" w:fill="FFFFFF"/>
        <w:adjustRightInd w:val="0"/>
        <w:snapToGrid w:val="0"/>
        <w:spacing w:before="24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表14</w:t>
      </w:r>
      <w:r>
        <w:rPr>
          <w:rFonts w:ascii="Times New Roman" w:hAnsi="Times New Roman" w:eastAsia="仿宋" w:cs="Times New Roman"/>
          <w:color w:val="000000" w:themeColor="text1"/>
          <w14:textFill>
            <w14:solidFill>
              <w14:schemeClr w14:val="tx1"/>
            </w14:solidFill>
          </w14:textFill>
        </w:rPr>
        <w:t xml:space="preserve"> 专业课校内授课教师来源情况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43"/>
        <w:gridCol w:w="1786"/>
        <w:gridCol w:w="192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64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8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2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本专业</w:t>
            </w:r>
          </w:p>
        </w:tc>
        <w:tc>
          <w:tcPr>
            <w:tcW w:w="1643" w:type="dxa"/>
            <w:vAlign w:val="center"/>
          </w:tcPr>
          <w:p>
            <w:pPr>
              <w:jc w:val="center"/>
              <w:rPr>
                <w:sz w:val="21"/>
                <w:szCs w:val="21"/>
              </w:rPr>
            </w:pPr>
            <w:r>
              <w:rPr>
                <w:sz w:val="21"/>
                <w:szCs w:val="21"/>
              </w:rPr>
              <w:t>8</w:t>
            </w:r>
          </w:p>
        </w:tc>
        <w:tc>
          <w:tcPr>
            <w:tcW w:w="1786" w:type="dxa"/>
            <w:vAlign w:val="center"/>
          </w:tcPr>
          <w:p>
            <w:pPr>
              <w:jc w:val="center"/>
              <w:rPr>
                <w:sz w:val="21"/>
                <w:szCs w:val="21"/>
              </w:rPr>
            </w:pPr>
            <w:r>
              <w:rPr>
                <w:sz w:val="21"/>
                <w:szCs w:val="21"/>
              </w:rPr>
              <w:t>8.16</w:t>
            </w:r>
          </w:p>
        </w:tc>
        <w:tc>
          <w:tcPr>
            <w:tcW w:w="1929" w:type="dxa"/>
            <w:vAlign w:val="center"/>
          </w:tcPr>
          <w:p>
            <w:pPr>
              <w:jc w:val="center"/>
              <w:rPr>
                <w:sz w:val="21"/>
                <w:szCs w:val="21"/>
              </w:rPr>
            </w:pPr>
            <w:r>
              <w:rPr>
                <w:sz w:val="21"/>
                <w:szCs w:val="21"/>
              </w:rPr>
              <w:t>7</w:t>
            </w:r>
            <w:bookmarkStart w:id="62" w:name="OLE_LINK41"/>
            <w:bookmarkEnd w:id="62"/>
          </w:p>
        </w:tc>
        <w:tc>
          <w:tcPr>
            <w:tcW w:w="2071" w:type="dxa"/>
            <w:vAlign w:val="center"/>
          </w:tcPr>
          <w:p>
            <w:pPr>
              <w:jc w:val="center"/>
              <w:rPr>
                <w:sz w:val="21"/>
                <w:szCs w:val="21"/>
              </w:rPr>
            </w:pPr>
            <w:r>
              <w:rPr>
                <w:sz w:val="21"/>
                <w:szCs w:val="21"/>
              </w:rPr>
              <w:t>22.58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本学院外专业</w:t>
            </w:r>
          </w:p>
        </w:tc>
        <w:tc>
          <w:tcPr>
            <w:tcW w:w="1643" w:type="dxa"/>
            <w:vAlign w:val="center"/>
          </w:tcPr>
          <w:p>
            <w:pPr>
              <w:jc w:val="center"/>
              <w:rPr>
                <w:sz w:val="21"/>
                <w:szCs w:val="21"/>
              </w:rPr>
            </w:pPr>
            <w:r>
              <w:rPr>
                <w:sz w:val="21"/>
                <w:szCs w:val="21"/>
              </w:rPr>
              <w:t>62</w:t>
            </w:r>
          </w:p>
        </w:tc>
        <w:tc>
          <w:tcPr>
            <w:tcW w:w="1786" w:type="dxa"/>
            <w:vAlign w:val="center"/>
          </w:tcPr>
          <w:p>
            <w:pPr>
              <w:jc w:val="center"/>
              <w:rPr>
                <w:sz w:val="21"/>
                <w:szCs w:val="21"/>
              </w:rPr>
            </w:pPr>
            <w:r>
              <w:rPr>
                <w:sz w:val="21"/>
                <w:szCs w:val="21"/>
              </w:rPr>
              <w:t>63.27</w:t>
            </w:r>
          </w:p>
        </w:tc>
        <w:tc>
          <w:tcPr>
            <w:tcW w:w="1929" w:type="dxa"/>
            <w:vAlign w:val="center"/>
          </w:tcPr>
          <w:p>
            <w:pPr>
              <w:jc w:val="center"/>
              <w:rPr>
                <w:sz w:val="21"/>
                <w:szCs w:val="21"/>
              </w:rPr>
            </w:pPr>
            <w:r>
              <w:rPr>
                <w:sz w:val="21"/>
                <w:szCs w:val="21"/>
              </w:rPr>
              <w:t>20</w:t>
            </w:r>
          </w:p>
        </w:tc>
        <w:tc>
          <w:tcPr>
            <w:tcW w:w="2071" w:type="dxa"/>
            <w:vAlign w:val="center"/>
          </w:tcPr>
          <w:p>
            <w:pPr>
              <w:jc w:val="center"/>
              <w:rPr>
                <w:sz w:val="21"/>
                <w:szCs w:val="21"/>
              </w:rPr>
            </w:pPr>
            <w:r>
              <w:rPr>
                <w:sz w:val="21"/>
                <w:szCs w:val="21"/>
              </w:rPr>
              <w:t>64.52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校内其他单位</w:t>
            </w:r>
          </w:p>
        </w:tc>
        <w:tc>
          <w:tcPr>
            <w:tcW w:w="1643" w:type="dxa"/>
            <w:vAlign w:val="center"/>
          </w:tcPr>
          <w:p>
            <w:pPr>
              <w:jc w:val="center"/>
              <w:rPr>
                <w:sz w:val="21"/>
                <w:szCs w:val="21"/>
              </w:rPr>
            </w:pPr>
            <w:r>
              <w:rPr>
                <w:sz w:val="21"/>
                <w:szCs w:val="21"/>
              </w:rPr>
              <w:t>28</w:t>
            </w:r>
          </w:p>
        </w:tc>
        <w:tc>
          <w:tcPr>
            <w:tcW w:w="1786" w:type="dxa"/>
            <w:vAlign w:val="center"/>
          </w:tcPr>
          <w:p>
            <w:pPr>
              <w:jc w:val="center"/>
              <w:rPr>
                <w:sz w:val="21"/>
                <w:szCs w:val="21"/>
              </w:rPr>
            </w:pPr>
            <w:r>
              <w:rPr>
                <w:sz w:val="21"/>
                <w:szCs w:val="21"/>
              </w:rPr>
              <w:t>28.57</w:t>
            </w:r>
          </w:p>
        </w:tc>
        <w:tc>
          <w:tcPr>
            <w:tcW w:w="1929" w:type="dxa"/>
            <w:vAlign w:val="center"/>
          </w:tcPr>
          <w:p>
            <w:pPr>
              <w:jc w:val="center"/>
              <w:rPr>
                <w:sz w:val="21"/>
                <w:szCs w:val="21"/>
              </w:rPr>
            </w:pPr>
            <w:r>
              <w:rPr>
                <w:sz w:val="21"/>
                <w:szCs w:val="21"/>
              </w:rPr>
              <w:t>4</w:t>
            </w:r>
          </w:p>
        </w:tc>
        <w:tc>
          <w:tcPr>
            <w:tcW w:w="2071" w:type="dxa"/>
            <w:vAlign w:val="center"/>
          </w:tcPr>
          <w:p>
            <w:pPr>
              <w:jc w:val="center"/>
              <w:rPr>
                <w:sz w:val="21"/>
                <w:szCs w:val="21"/>
              </w:rPr>
            </w:pPr>
            <w:r>
              <w:rPr>
                <w:sz w:val="21"/>
                <w:szCs w:val="21"/>
              </w:rPr>
              <w:t>12.9</w:t>
            </w:r>
          </w:p>
        </w:tc>
      </w:tr>
    </w:tbl>
    <w:p>
      <w:pPr>
        <w:shd w:val="clear" w:color="auto" w:fill="FFFFFF"/>
        <w:adjustRightInd w:val="0"/>
        <w:snapToGrid w:val="0"/>
        <w:spacing w:before="24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表15</w:t>
      </w:r>
      <w:r>
        <w:rPr>
          <w:rFonts w:ascii="Times New Roman" w:hAnsi="Times New Roman" w:eastAsia="仿宋" w:cs="Times New Roman"/>
          <w:color w:val="000000" w:themeColor="text1"/>
          <w14:textFill>
            <w14:solidFill>
              <w14:schemeClr w14:val="tx1"/>
            </w14:solidFill>
          </w14:textFill>
        </w:rPr>
        <w:t xml:space="preserve"> 专业课外聘授课教师情况</w:t>
      </w:r>
    </w:p>
    <w:tbl>
      <w:tblPr>
        <w:tblStyle w:val="20"/>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rFonts w:hint="eastAsia" w:eastAsia="宋体"/>
                <w:sz w:val="21"/>
                <w:szCs w:val="21"/>
                <w:lang w:eastAsia="zh-CN"/>
              </w:rPr>
            </w:pPr>
            <w:r>
              <w:rPr>
                <w:rFonts w:hint="eastAsia"/>
                <w:sz w:val="21"/>
                <w:szCs w:val="21"/>
                <w:lang w:val="en-US" w:eastAsia="zh-CN"/>
              </w:rPr>
              <w:t>3</w:t>
            </w:r>
          </w:p>
        </w:tc>
        <w:tc>
          <w:tcPr>
            <w:tcW w:w="2212"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bookmarkStart w:id="63" w:name="OLE_LINK42"/>
            <w:r>
              <w:rPr>
                <w:rFonts w:hint="eastAsia"/>
                <w:sz w:val="21"/>
                <w:szCs w:val="21"/>
              </w:rPr>
              <w:t>职称</w:t>
            </w:r>
            <w:bookmarkEnd w:id="63"/>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4" w:name="OLE_LINK4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5" w:name="OLE_LINK4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3</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sz w:val="21"/>
                <w:szCs w:val="21"/>
              </w:rPr>
            </w:pPr>
            <w:r>
              <w:rPr>
                <w:rFonts w:hint="eastAsia"/>
                <w:sz w:val="21"/>
                <w:szCs w:val="21"/>
                <w:lang w:val="en-US" w:eastAsia="zh-CN"/>
              </w:rPr>
              <w:t>3</w:t>
            </w:r>
          </w:p>
        </w:tc>
        <w:tc>
          <w:tcPr>
            <w:tcW w:w="2212" w:type="dxa"/>
            <w:vAlign w:val="center"/>
          </w:tcPr>
          <w:p>
            <w:pPr>
              <w:jc w:val="center"/>
              <w:rPr>
                <w:sz w:val="21"/>
                <w:szCs w:val="21"/>
              </w:rPr>
            </w:pPr>
            <w:r>
              <w:rPr>
                <w:rFonts w:hint="eastAsia"/>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pPr>
        <w:rPr>
          <w:rFonts w:ascii="Times New Roman" w:hAnsi="Times New Roman" w:cs="Times New Roman"/>
        </w:rPr>
      </w:pPr>
    </w:p>
    <w:p>
      <w:pPr>
        <w:pStyle w:val="4"/>
        <w:spacing w:before="0" w:after="0"/>
        <w:rPr>
          <w:rFonts w:ascii="宋体" w:hAnsi="宋体" w:eastAsia="宋体" w:cs="Times New Roman"/>
          <w:sz w:val="24"/>
          <w:szCs w:val="24"/>
        </w:rPr>
      </w:pPr>
      <w:bookmarkStart w:id="66" w:name="_Toc160210536"/>
      <w:r>
        <w:rPr>
          <w:rFonts w:ascii="宋体" w:hAnsi="宋体" w:eastAsia="宋体" w:cs="Times New Roman"/>
          <w:sz w:val="24"/>
          <w:szCs w:val="24"/>
        </w:rPr>
        <w:t>4.3</w:t>
      </w:r>
      <w:bookmarkStart w:id="67" w:name="OLE_LINK45"/>
      <w:r>
        <w:rPr>
          <w:rFonts w:ascii="宋体" w:hAnsi="宋体" w:eastAsia="宋体" w:cs="Times New Roman"/>
          <w:sz w:val="24"/>
          <w:szCs w:val="24"/>
        </w:rPr>
        <w:t>教师教学</w:t>
      </w:r>
      <w:bookmarkEnd w:id="67"/>
      <w:r>
        <w:rPr>
          <w:rFonts w:ascii="宋体" w:hAnsi="宋体" w:eastAsia="宋体" w:cs="Times New Roman"/>
          <w:sz w:val="24"/>
          <w:szCs w:val="24"/>
        </w:rPr>
        <w:t>科研情况</w:t>
      </w:r>
      <w:bookmarkEnd w:id="66"/>
      <w:r>
        <w:rPr>
          <w:rFonts w:ascii="宋体" w:hAnsi="宋体" w:eastAsia="宋体" w:cs="Times New Roman"/>
          <w:sz w:val="24"/>
          <w:szCs w:val="24"/>
        </w:rPr>
        <w:t xml:space="preserve"> </w:t>
      </w:r>
    </w:p>
    <w:p>
      <w:bookmarkStart w:id="68" w:name="_Toc160210537"/>
      <w:r>
        <w:t>4.3.1教师</w:t>
      </w:r>
      <w:r>
        <w:rPr>
          <w:rFonts w:hint="eastAsia"/>
        </w:rPr>
        <w:t>承担科研项目</w:t>
      </w:r>
      <w:r>
        <w:t>情况</w:t>
      </w:r>
    </w:p>
    <w:p/>
    <w:p>
      <w:pPr>
        <w:ind w:firstLine="240" w:firstLineChars="100"/>
      </w:pPr>
      <w:r>
        <w:rPr>
          <w:rFonts w:hint="eastAsia"/>
        </w:rPr>
        <w:t>本专业教师在</w:t>
      </w:r>
      <w:r>
        <w:t>2022-2023</w:t>
      </w:r>
      <w:r>
        <w:rPr>
          <w:rFonts w:hint="eastAsia"/>
        </w:rPr>
        <w:t>年度承担纵向课题</w:t>
      </w:r>
      <w:r>
        <w:t>3</w:t>
      </w:r>
      <w:r>
        <w:rPr>
          <w:rFonts w:hint="eastAsia"/>
        </w:rPr>
        <w:t>项，横向课题</w:t>
      </w:r>
      <w:r>
        <w:t>6</w:t>
      </w:r>
      <w:r>
        <w:rPr>
          <w:rFonts w:hint="eastAsia"/>
        </w:rPr>
        <w:t>项。</w:t>
      </w:r>
    </w:p>
    <w:p>
      <w:pPr>
        <w:ind w:firstLine="240" w:firstLineChars="100"/>
      </w:pPr>
    </w:p>
    <w:p>
      <w:pPr>
        <w:spacing w:line="300" w:lineRule="exact"/>
        <w:jc w:val="center"/>
        <w:rPr>
          <w:rFonts w:ascii="Times New Roman" w:hAnsi="Times New Roman" w:eastAsia="仿宋" w:cs="Times New Roman"/>
          <w:color w:val="000000" w:themeColor="text1"/>
          <w14:textFill>
            <w14:solidFill>
              <w14:schemeClr w14:val="tx1"/>
            </w14:solidFill>
          </w14:textFill>
        </w:rPr>
      </w:pPr>
      <w:bookmarkStart w:id="69" w:name="_Hlk103164769"/>
      <w:r>
        <w:rPr>
          <w:rFonts w:hint="eastAsia" w:ascii="Times New Roman" w:hAnsi="Times New Roman" w:eastAsia="仿宋" w:cs="Times New Roman"/>
          <w:color w:val="000000" w:themeColor="text1"/>
          <w14:textFill>
            <w14:solidFill>
              <w14:schemeClr w14:val="tx1"/>
            </w14:solidFill>
          </w14:textFill>
        </w:rPr>
        <w:t>表1</w:t>
      </w:r>
      <w:r>
        <w:rPr>
          <w:rFonts w:hint="eastAsia" w:ascii="Times New Roman" w:hAnsi="Times New Roman" w:eastAsia="仿宋" w:cs="Times New Roman"/>
          <w:color w:val="000000" w:themeColor="text1"/>
          <w:lang w:val="en-US" w:eastAsia="zh-CN"/>
          <w14:textFill>
            <w14:solidFill>
              <w14:schemeClr w14:val="tx1"/>
            </w14:solidFill>
          </w14:textFill>
        </w:rPr>
        <w:t>6</w:t>
      </w:r>
      <w:r>
        <w:rPr>
          <w:rFonts w:ascii="Times New Roman" w:hAnsi="Times New Roman" w:eastAsia="仿宋" w:cs="Times New Roman"/>
          <w:color w:val="000000" w:themeColor="text1"/>
          <w14:textFill>
            <w14:solidFill>
              <w14:schemeClr w14:val="tx1"/>
            </w14:solidFill>
          </w14:textFill>
        </w:rPr>
        <w:t xml:space="preserve"> </w:t>
      </w:r>
      <w:r>
        <w:rPr>
          <w:rFonts w:hint="eastAsia" w:ascii="Times New Roman" w:hAnsi="Times New Roman" w:eastAsia="仿宋" w:cs="Times New Roman"/>
          <w:color w:val="000000" w:themeColor="text1"/>
          <w14:textFill>
            <w14:solidFill>
              <w14:schemeClr w14:val="tx1"/>
            </w14:solidFill>
          </w14:textFill>
        </w:rPr>
        <w:t>专业教师承担纵向课题情况</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4248"/>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9" w:type="dxa"/>
            <w:vAlign w:val="center"/>
          </w:tcPr>
          <w:p>
            <w:pPr>
              <w:jc w:val="center"/>
              <w:rPr>
                <w:sz w:val="21"/>
                <w:szCs w:val="21"/>
              </w:rPr>
            </w:pPr>
            <w:bookmarkStart w:id="70" w:name="_Hlk103169527"/>
            <w:r>
              <w:rPr>
                <w:sz w:val="21"/>
                <w:szCs w:val="21"/>
              </w:rPr>
              <w:t>序号</w:t>
            </w:r>
          </w:p>
        </w:tc>
        <w:tc>
          <w:tcPr>
            <w:tcW w:w="992" w:type="dxa"/>
          </w:tcPr>
          <w:p>
            <w:pPr>
              <w:jc w:val="center"/>
              <w:rPr>
                <w:sz w:val="21"/>
                <w:szCs w:val="21"/>
              </w:rPr>
            </w:pPr>
          </w:p>
          <w:p>
            <w:pPr>
              <w:jc w:val="center"/>
              <w:rPr>
                <w:sz w:val="21"/>
                <w:szCs w:val="21"/>
              </w:rPr>
            </w:pPr>
            <w:r>
              <w:rPr>
                <w:rFonts w:hint="eastAsia"/>
                <w:sz w:val="21"/>
                <w:szCs w:val="21"/>
              </w:rPr>
              <w:t>负责人</w:t>
            </w:r>
          </w:p>
        </w:tc>
        <w:tc>
          <w:tcPr>
            <w:tcW w:w="4248" w:type="dxa"/>
            <w:vAlign w:val="center"/>
          </w:tcPr>
          <w:p>
            <w:pPr>
              <w:jc w:val="center"/>
              <w:rPr>
                <w:sz w:val="21"/>
                <w:szCs w:val="21"/>
              </w:rPr>
            </w:pPr>
            <w:r>
              <w:rPr>
                <w:rFonts w:hint="eastAsia"/>
                <w:sz w:val="21"/>
                <w:szCs w:val="21"/>
              </w:rPr>
              <w:t>项目</w:t>
            </w:r>
            <w:r>
              <w:rPr>
                <w:sz w:val="21"/>
                <w:szCs w:val="21"/>
              </w:rPr>
              <w:t>名称</w:t>
            </w:r>
          </w:p>
        </w:tc>
        <w:tc>
          <w:tcPr>
            <w:tcW w:w="1276" w:type="dxa"/>
            <w:vAlign w:val="center"/>
          </w:tcPr>
          <w:p>
            <w:pPr>
              <w:ind w:left="60"/>
              <w:jc w:val="center"/>
              <w:rPr>
                <w:sz w:val="21"/>
                <w:szCs w:val="21"/>
              </w:rPr>
            </w:pPr>
            <w:r>
              <w:rPr>
                <w:rFonts w:hint="eastAsia"/>
                <w:sz w:val="21"/>
                <w:szCs w:val="21"/>
              </w:rPr>
              <w:t>项目级别</w:t>
            </w:r>
          </w:p>
        </w:tc>
        <w:tc>
          <w:tcPr>
            <w:tcW w:w="1134" w:type="dxa"/>
            <w:vAlign w:val="center"/>
          </w:tcPr>
          <w:p>
            <w:pPr>
              <w:jc w:val="center"/>
              <w:rPr>
                <w:sz w:val="21"/>
                <w:szCs w:val="21"/>
              </w:rPr>
            </w:pPr>
            <w:r>
              <w:rPr>
                <w:rFonts w:hint="eastAsia"/>
                <w:sz w:val="21"/>
                <w:szCs w:val="21"/>
              </w:rPr>
              <w:t>经费</w:t>
            </w:r>
          </w:p>
          <w:p>
            <w:pPr>
              <w:jc w:val="center"/>
              <w:rPr>
                <w:sz w:val="21"/>
                <w:szCs w:val="21"/>
              </w:rPr>
            </w:pPr>
            <w:r>
              <w:rPr>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9" w:type="dxa"/>
            <w:vAlign w:val="center"/>
          </w:tcPr>
          <w:p>
            <w:pPr>
              <w:jc w:val="center"/>
              <w:rPr>
                <w:sz w:val="21"/>
                <w:szCs w:val="21"/>
              </w:rPr>
            </w:pPr>
            <w:r>
              <w:rPr>
                <w:rFonts w:hint="eastAsia"/>
                <w:sz w:val="21"/>
                <w:szCs w:val="21"/>
              </w:rPr>
              <w:t>1</w:t>
            </w:r>
          </w:p>
        </w:tc>
        <w:tc>
          <w:tcPr>
            <w:tcW w:w="992" w:type="dxa"/>
          </w:tcPr>
          <w:p>
            <w:pPr>
              <w:jc w:val="center"/>
              <w:rPr>
                <w:sz w:val="21"/>
                <w:szCs w:val="21"/>
              </w:rPr>
            </w:pPr>
            <w:r>
              <w:rPr>
                <w:rFonts w:hint="eastAsia"/>
                <w:sz w:val="21"/>
                <w:szCs w:val="21"/>
              </w:rPr>
              <w:t>齐林恺</w:t>
            </w:r>
          </w:p>
        </w:tc>
        <w:tc>
          <w:tcPr>
            <w:tcW w:w="4248" w:type="dxa"/>
          </w:tcPr>
          <w:p>
            <w:pPr>
              <w:jc w:val="center"/>
              <w:rPr>
                <w:sz w:val="21"/>
                <w:szCs w:val="21"/>
              </w:rPr>
            </w:pPr>
            <w:r>
              <w:rPr>
                <w:rFonts w:hint="eastAsia"/>
                <w:sz w:val="21"/>
                <w:szCs w:val="21"/>
              </w:rPr>
              <w:t>高质量打造上海国际邮轮旅游度假区研究</w:t>
            </w:r>
          </w:p>
        </w:tc>
        <w:tc>
          <w:tcPr>
            <w:tcW w:w="1276" w:type="dxa"/>
          </w:tcPr>
          <w:p>
            <w:pPr>
              <w:ind w:left="60"/>
              <w:jc w:val="center"/>
              <w:rPr>
                <w:sz w:val="21"/>
                <w:szCs w:val="21"/>
              </w:rPr>
            </w:pPr>
            <w:r>
              <w:rPr>
                <w:rFonts w:hint="eastAsia"/>
                <w:sz w:val="21"/>
                <w:szCs w:val="21"/>
              </w:rPr>
              <w:t>省部级</w:t>
            </w:r>
          </w:p>
        </w:tc>
        <w:tc>
          <w:tcPr>
            <w:tcW w:w="1134" w:type="dxa"/>
          </w:tcPr>
          <w:p>
            <w:pPr>
              <w:jc w:val="center"/>
              <w:rPr>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09" w:type="dxa"/>
            <w:shd w:val="clear" w:color="auto" w:fill="auto"/>
            <w:vAlign w:val="center"/>
          </w:tcPr>
          <w:p>
            <w:pPr>
              <w:jc w:val="center"/>
              <w:rPr>
                <w:color w:val="000000"/>
                <w:sz w:val="21"/>
                <w:szCs w:val="21"/>
              </w:rPr>
            </w:pPr>
            <w:r>
              <w:rPr>
                <w:rFonts w:hint="eastAsia"/>
                <w:color w:val="000000"/>
                <w:sz w:val="21"/>
                <w:szCs w:val="21"/>
              </w:rPr>
              <w:t>2</w:t>
            </w:r>
          </w:p>
        </w:tc>
        <w:tc>
          <w:tcPr>
            <w:tcW w:w="992" w:type="dxa"/>
          </w:tcPr>
          <w:p>
            <w:pPr>
              <w:rPr>
                <w:sz w:val="21"/>
                <w:szCs w:val="21"/>
              </w:rPr>
            </w:pPr>
            <w:r>
              <w:rPr>
                <w:rFonts w:hint="eastAsia"/>
                <w:sz w:val="21"/>
                <w:szCs w:val="21"/>
              </w:rPr>
              <w:t>秦迎林</w:t>
            </w:r>
          </w:p>
        </w:tc>
        <w:tc>
          <w:tcPr>
            <w:tcW w:w="4248" w:type="dxa"/>
            <w:shd w:val="clear" w:color="auto" w:fill="FFFFFF"/>
          </w:tcPr>
          <w:p>
            <w:pPr>
              <w:rPr>
                <w:sz w:val="21"/>
                <w:szCs w:val="21"/>
              </w:rPr>
            </w:pPr>
            <w:r>
              <w:rPr>
                <w:rFonts w:hint="eastAsia"/>
                <w:sz w:val="21"/>
                <w:szCs w:val="21"/>
              </w:rPr>
              <w:t>上海都市体育发展体系建设研究——都市体育文化独特性研究</w:t>
            </w:r>
          </w:p>
        </w:tc>
        <w:tc>
          <w:tcPr>
            <w:tcW w:w="1276" w:type="dxa"/>
            <w:shd w:val="clear" w:color="auto" w:fill="FFFFFF"/>
          </w:tcPr>
          <w:p>
            <w:pPr>
              <w:jc w:val="center"/>
              <w:rPr>
                <w:sz w:val="21"/>
                <w:szCs w:val="21"/>
              </w:rPr>
            </w:pPr>
            <w:r>
              <w:rPr>
                <w:rFonts w:hint="eastAsia"/>
                <w:sz w:val="21"/>
                <w:szCs w:val="21"/>
              </w:rPr>
              <w:t>省部级</w:t>
            </w:r>
          </w:p>
        </w:tc>
        <w:tc>
          <w:tcPr>
            <w:tcW w:w="1134" w:type="dxa"/>
            <w:shd w:val="clear" w:color="auto" w:fill="FFFFFF"/>
          </w:tcPr>
          <w:p>
            <w:pPr>
              <w:jc w:val="center"/>
              <w:rPr>
                <w:sz w:val="21"/>
                <w:szCs w:val="21"/>
              </w:rPr>
            </w:pP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09" w:type="dxa"/>
            <w:shd w:val="clear" w:color="auto" w:fill="auto"/>
            <w:vAlign w:val="center"/>
          </w:tcPr>
          <w:p>
            <w:pPr>
              <w:jc w:val="center"/>
              <w:rPr>
                <w:color w:val="000000"/>
                <w:sz w:val="21"/>
                <w:szCs w:val="21"/>
              </w:rPr>
            </w:pPr>
            <w:r>
              <w:rPr>
                <w:rFonts w:hint="eastAsia"/>
                <w:color w:val="000000"/>
                <w:sz w:val="21"/>
                <w:szCs w:val="21"/>
              </w:rPr>
              <w:t>3</w:t>
            </w:r>
          </w:p>
        </w:tc>
        <w:tc>
          <w:tcPr>
            <w:tcW w:w="992" w:type="dxa"/>
          </w:tcPr>
          <w:p>
            <w:pPr>
              <w:rPr>
                <w:sz w:val="21"/>
                <w:szCs w:val="21"/>
              </w:rPr>
            </w:pPr>
            <w:r>
              <w:rPr>
                <w:rFonts w:hint="eastAsia"/>
                <w:sz w:val="21"/>
                <w:szCs w:val="21"/>
              </w:rPr>
              <w:t>秦迎林</w:t>
            </w:r>
          </w:p>
        </w:tc>
        <w:tc>
          <w:tcPr>
            <w:tcW w:w="4248" w:type="dxa"/>
            <w:shd w:val="clear" w:color="auto" w:fill="FFFFFF"/>
          </w:tcPr>
          <w:p>
            <w:pPr>
              <w:rPr>
                <w:sz w:val="21"/>
                <w:szCs w:val="21"/>
              </w:rPr>
            </w:pPr>
            <w:r>
              <w:rPr>
                <w:rFonts w:hint="eastAsia"/>
                <w:sz w:val="21"/>
                <w:szCs w:val="21"/>
              </w:rPr>
              <w:t>上海都市体育发展体系建设研究——都市体育文化独特性研究</w:t>
            </w:r>
          </w:p>
        </w:tc>
        <w:tc>
          <w:tcPr>
            <w:tcW w:w="1276" w:type="dxa"/>
            <w:shd w:val="clear" w:color="auto" w:fill="FFFFFF"/>
          </w:tcPr>
          <w:p>
            <w:pPr>
              <w:jc w:val="center"/>
              <w:rPr>
                <w:sz w:val="21"/>
                <w:szCs w:val="21"/>
              </w:rPr>
            </w:pPr>
            <w:r>
              <w:rPr>
                <w:rFonts w:hint="eastAsia"/>
                <w:sz w:val="21"/>
                <w:szCs w:val="21"/>
              </w:rPr>
              <w:t>省部级</w:t>
            </w:r>
          </w:p>
        </w:tc>
        <w:tc>
          <w:tcPr>
            <w:tcW w:w="1134" w:type="dxa"/>
            <w:shd w:val="clear" w:color="auto" w:fill="FFFFFF"/>
          </w:tcPr>
          <w:p>
            <w:pPr>
              <w:jc w:val="center"/>
              <w:rPr>
                <w:sz w:val="21"/>
                <w:szCs w:val="21"/>
              </w:rPr>
            </w:pPr>
            <w:r>
              <w:rPr>
                <w:sz w:val="21"/>
                <w:szCs w:val="21"/>
              </w:rPr>
              <w:t>3</w:t>
            </w:r>
          </w:p>
        </w:tc>
      </w:tr>
      <w:bookmarkEnd w:id="70"/>
    </w:tbl>
    <w:p>
      <w:pPr>
        <w:shd w:val="clear" w:color="auto" w:fill="FFFFFF"/>
        <w:snapToGrid w:val="0"/>
        <w:spacing w:line="360" w:lineRule="auto"/>
        <w:rPr>
          <w:color w:val="333333"/>
          <w:szCs w:val="21"/>
        </w:rPr>
      </w:pPr>
    </w:p>
    <w:p>
      <w:pPr>
        <w:spacing w:line="300" w:lineRule="exact"/>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w:t>
      </w:r>
      <w:r>
        <w:rPr>
          <w:rFonts w:hint="eastAsia" w:ascii="Times New Roman" w:hAnsi="Times New Roman" w:eastAsia="仿宋" w:cs="Times New Roman"/>
          <w:color w:val="000000" w:themeColor="text1"/>
          <w:lang w:val="en-US" w:eastAsia="zh-CN"/>
          <w14:textFill>
            <w14:solidFill>
              <w14:schemeClr w14:val="tx1"/>
            </w14:solidFill>
          </w14:textFill>
        </w:rPr>
        <w:t>7</w:t>
      </w:r>
      <w:r>
        <w:rPr>
          <w:rFonts w:hint="eastAsia" w:ascii="Times New Roman" w:hAnsi="Times New Roman" w:eastAsia="仿宋" w:cs="Times New Roman"/>
          <w:color w:val="000000" w:themeColor="text1"/>
          <w14:textFill>
            <w14:solidFill>
              <w14:schemeClr w14:val="tx1"/>
            </w14:solidFill>
          </w14:textFill>
        </w:rPr>
        <w:t>专业教师承担横向课题情况</w:t>
      </w:r>
    </w:p>
    <w:tbl>
      <w:tblPr>
        <w:tblStyle w:val="1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3402"/>
        <w:gridCol w:w="1134"/>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1" w:type="dxa"/>
            <w:vAlign w:val="center"/>
          </w:tcPr>
          <w:p>
            <w:pPr>
              <w:jc w:val="center"/>
              <w:rPr>
                <w:sz w:val="21"/>
                <w:szCs w:val="21"/>
              </w:rPr>
            </w:pPr>
            <w:r>
              <w:rPr>
                <w:sz w:val="21"/>
                <w:szCs w:val="21"/>
              </w:rPr>
              <w:t>序号</w:t>
            </w:r>
          </w:p>
        </w:tc>
        <w:tc>
          <w:tcPr>
            <w:tcW w:w="1134" w:type="dxa"/>
          </w:tcPr>
          <w:p>
            <w:pPr>
              <w:jc w:val="center"/>
              <w:rPr>
                <w:sz w:val="21"/>
                <w:szCs w:val="21"/>
              </w:rPr>
            </w:pPr>
          </w:p>
          <w:p>
            <w:pPr>
              <w:jc w:val="center"/>
              <w:rPr>
                <w:sz w:val="21"/>
                <w:szCs w:val="21"/>
              </w:rPr>
            </w:pPr>
            <w:r>
              <w:rPr>
                <w:rFonts w:hint="eastAsia"/>
                <w:sz w:val="21"/>
                <w:szCs w:val="21"/>
              </w:rPr>
              <w:t>负责人</w:t>
            </w:r>
          </w:p>
        </w:tc>
        <w:tc>
          <w:tcPr>
            <w:tcW w:w="3402" w:type="dxa"/>
            <w:vAlign w:val="center"/>
          </w:tcPr>
          <w:p>
            <w:pPr>
              <w:jc w:val="center"/>
              <w:rPr>
                <w:sz w:val="21"/>
                <w:szCs w:val="21"/>
              </w:rPr>
            </w:pPr>
            <w:r>
              <w:rPr>
                <w:rFonts w:hint="eastAsia"/>
                <w:sz w:val="21"/>
                <w:szCs w:val="21"/>
              </w:rPr>
              <w:t>项目</w:t>
            </w:r>
            <w:r>
              <w:rPr>
                <w:sz w:val="21"/>
                <w:szCs w:val="21"/>
              </w:rPr>
              <w:t>名称</w:t>
            </w:r>
          </w:p>
        </w:tc>
        <w:tc>
          <w:tcPr>
            <w:tcW w:w="1134" w:type="dxa"/>
            <w:vAlign w:val="center"/>
          </w:tcPr>
          <w:p>
            <w:pPr>
              <w:ind w:left="60"/>
              <w:jc w:val="center"/>
              <w:rPr>
                <w:sz w:val="21"/>
                <w:szCs w:val="21"/>
              </w:rPr>
            </w:pPr>
            <w:r>
              <w:rPr>
                <w:rFonts w:hint="eastAsia"/>
                <w:sz w:val="21"/>
                <w:szCs w:val="21"/>
              </w:rPr>
              <w:t>类别</w:t>
            </w:r>
          </w:p>
        </w:tc>
        <w:tc>
          <w:tcPr>
            <w:tcW w:w="1134" w:type="dxa"/>
          </w:tcPr>
          <w:p>
            <w:pPr>
              <w:jc w:val="center"/>
              <w:rPr>
                <w:sz w:val="21"/>
                <w:szCs w:val="21"/>
              </w:rPr>
            </w:pPr>
            <w:r>
              <w:rPr>
                <w:rFonts w:hint="eastAsia"/>
                <w:sz w:val="21"/>
                <w:szCs w:val="21"/>
              </w:rPr>
              <w:t>起讫</w:t>
            </w:r>
          </w:p>
          <w:p>
            <w:pPr>
              <w:jc w:val="center"/>
              <w:rPr>
                <w:sz w:val="21"/>
                <w:szCs w:val="21"/>
              </w:rPr>
            </w:pPr>
            <w:r>
              <w:rPr>
                <w:rFonts w:hint="eastAsia"/>
                <w:sz w:val="21"/>
                <w:szCs w:val="21"/>
              </w:rPr>
              <w:t>时间</w:t>
            </w:r>
          </w:p>
        </w:tc>
        <w:tc>
          <w:tcPr>
            <w:tcW w:w="850" w:type="dxa"/>
            <w:vAlign w:val="center"/>
          </w:tcPr>
          <w:p>
            <w:pPr>
              <w:jc w:val="center"/>
              <w:rPr>
                <w:sz w:val="21"/>
                <w:szCs w:val="21"/>
              </w:rPr>
            </w:pPr>
            <w:r>
              <w:rPr>
                <w:rFonts w:hint="eastAsia"/>
                <w:sz w:val="21"/>
                <w:szCs w:val="21"/>
              </w:rPr>
              <w:t>经费</w:t>
            </w:r>
          </w:p>
          <w:p>
            <w:pPr>
              <w:jc w:val="center"/>
              <w:rPr>
                <w:sz w:val="21"/>
                <w:szCs w:val="21"/>
              </w:rPr>
            </w:pPr>
            <w:r>
              <w:rPr>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1" w:type="dxa"/>
            <w:vAlign w:val="center"/>
          </w:tcPr>
          <w:p>
            <w:pPr>
              <w:jc w:val="center"/>
              <w:rPr>
                <w:sz w:val="21"/>
                <w:szCs w:val="21"/>
              </w:rPr>
            </w:pPr>
            <w:r>
              <w:rPr>
                <w:rFonts w:hint="eastAsia"/>
                <w:sz w:val="21"/>
                <w:szCs w:val="21"/>
              </w:rPr>
              <w:t>1</w:t>
            </w:r>
          </w:p>
        </w:tc>
        <w:tc>
          <w:tcPr>
            <w:tcW w:w="1134" w:type="dxa"/>
          </w:tcPr>
          <w:p>
            <w:pPr>
              <w:jc w:val="center"/>
              <w:rPr>
                <w:sz w:val="21"/>
                <w:szCs w:val="21"/>
              </w:rPr>
            </w:pPr>
          </w:p>
          <w:p>
            <w:pPr>
              <w:jc w:val="center"/>
              <w:rPr>
                <w:sz w:val="21"/>
                <w:szCs w:val="21"/>
              </w:rPr>
            </w:pPr>
            <w:r>
              <w:rPr>
                <w:rFonts w:hint="eastAsia"/>
                <w:sz w:val="21"/>
                <w:szCs w:val="21"/>
              </w:rPr>
              <w:t>李含伟</w:t>
            </w:r>
          </w:p>
        </w:tc>
        <w:tc>
          <w:tcPr>
            <w:tcW w:w="3402" w:type="dxa"/>
            <w:vAlign w:val="center"/>
          </w:tcPr>
          <w:p>
            <w:pPr>
              <w:jc w:val="center"/>
              <w:rPr>
                <w:sz w:val="21"/>
                <w:szCs w:val="21"/>
              </w:rPr>
            </w:pPr>
            <w:r>
              <w:rPr>
                <w:rFonts w:hint="eastAsia"/>
                <w:sz w:val="21"/>
                <w:szCs w:val="21"/>
              </w:rPr>
              <w:t>上海馨午化工有限公司互联网发展战略研究</w:t>
            </w:r>
          </w:p>
        </w:tc>
        <w:tc>
          <w:tcPr>
            <w:tcW w:w="1134" w:type="dxa"/>
            <w:vAlign w:val="center"/>
          </w:tcPr>
          <w:p>
            <w:pPr>
              <w:ind w:left="60"/>
              <w:jc w:val="center"/>
              <w:rPr>
                <w:sz w:val="21"/>
                <w:szCs w:val="21"/>
              </w:rPr>
            </w:pPr>
            <w:r>
              <w:rPr>
                <w:rFonts w:hint="eastAsia"/>
                <w:sz w:val="21"/>
                <w:szCs w:val="21"/>
              </w:rPr>
              <w:t>技术咨询</w:t>
            </w:r>
          </w:p>
        </w:tc>
        <w:tc>
          <w:tcPr>
            <w:tcW w:w="1134" w:type="dxa"/>
          </w:tcPr>
          <w:p>
            <w:pPr>
              <w:jc w:val="center"/>
              <w:rPr>
                <w:sz w:val="21"/>
                <w:szCs w:val="21"/>
              </w:rPr>
            </w:pPr>
            <w:r>
              <w:rPr>
                <w:sz w:val="21"/>
                <w:szCs w:val="21"/>
              </w:rPr>
              <w:t>2023.3-2023.10</w:t>
            </w:r>
          </w:p>
        </w:tc>
        <w:tc>
          <w:tcPr>
            <w:tcW w:w="850" w:type="dxa"/>
            <w:vAlign w:val="center"/>
          </w:tcPr>
          <w:p>
            <w:pPr>
              <w:jc w:val="center"/>
              <w:rPr>
                <w:sz w:val="21"/>
                <w:szCs w:val="21"/>
              </w:rPr>
            </w:pPr>
            <w:r>
              <w:rPr>
                <w:rFonts w:hint="eastAsia"/>
                <w:sz w:val="21"/>
                <w:szCs w:val="21"/>
              </w:rPr>
              <w:t>5</w:t>
            </w:r>
            <w:r>
              <w:rPr>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1" w:type="dxa"/>
            <w:vAlign w:val="center"/>
          </w:tcPr>
          <w:p>
            <w:pPr>
              <w:jc w:val="center"/>
              <w:rPr>
                <w:sz w:val="21"/>
                <w:szCs w:val="21"/>
              </w:rPr>
            </w:pPr>
            <w:r>
              <w:rPr>
                <w:sz w:val="21"/>
                <w:szCs w:val="21"/>
              </w:rPr>
              <w:t>2</w:t>
            </w:r>
          </w:p>
        </w:tc>
        <w:tc>
          <w:tcPr>
            <w:tcW w:w="1134" w:type="dxa"/>
          </w:tcPr>
          <w:p>
            <w:pPr>
              <w:jc w:val="center"/>
              <w:rPr>
                <w:sz w:val="21"/>
                <w:szCs w:val="21"/>
              </w:rPr>
            </w:pPr>
            <w:r>
              <w:rPr>
                <w:rFonts w:hint="eastAsia"/>
                <w:sz w:val="21"/>
                <w:szCs w:val="21"/>
              </w:rPr>
              <w:t>邱羚</w:t>
            </w:r>
          </w:p>
        </w:tc>
        <w:tc>
          <w:tcPr>
            <w:tcW w:w="3402" w:type="dxa"/>
          </w:tcPr>
          <w:p>
            <w:pPr>
              <w:jc w:val="center"/>
              <w:rPr>
                <w:sz w:val="21"/>
                <w:szCs w:val="21"/>
              </w:rPr>
            </w:pPr>
            <w:r>
              <w:rPr>
                <w:rFonts w:hint="eastAsia"/>
                <w:sz w:val="21"/>
                <w:szCs w:val="21"/>
              </w:rPr>
              <w:t>中国邮轮游船游艇行业发展报告（</w:t>
            </w:r>
            <w:r>
              <w:rPr>
                <w:sz w:val="21"/>
                <w:szCs w:val="21"/>
              </w:rPr>
              <w:t>2022-2023）</w:t>
            </w:r>
          </w:p>
        </w:tc>
        <w:tc>
          <w:tcPr>
            <w:tcW w:w="1134" w:type="dxa"/>
          </w:tcPr>
          <w:p>
            <w:pPr>
              <w:ind w:left="60"/>
              <w:jc w:val="center"/>
              <w:rPr>
                <w:sz w:val="21"/>
                <w:szCs w:val="21"/>
              </w:rPr>
            </w:pPr>
            <w:r>
              <w:rPr>
                <w:rFonts w:hint="eastAsia"/>
                <w:sz w:val="21"/>
                <w:szCs w:val="21"/>
              </w:rPr>
              <w:t>技术咨询</w:t>
            </w:r>
          </w:p>
        </w:tc>
        <w:tc>
          <w:tcPr>
            <w:tcW w:w="1134" w:type="dxa"/>
          </w:tcPr>
          <w:p>
            <w:pPr>
              <w:jc w:val="center"/>
              <w:rPr>
                <w:sz w:val="21"/>
                <w:szCs w:val="21"/>
              </w:rPr>
            </w:pPr>
            <w:r>
              <w:rPr>
                <w:sz w:val="21"/>
                <w:szCs w:val="21"/>
              </w:rPr>
              <w:t>2023.06-2023.12</w:t>
            </w:r>
          </w:p>
        </w:tc>
        <w:tc>
          <w:tcPr>
            <w:tcW w:w="850" w:type="dxa"/>
          </w:tcPr>
          <w:p>
            <w:pPr>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 w:type="dxa"/>
            <w:shd w:val="clear" w:color="auto" w:fill="auto"/>
            <w:vAlign w:val="center"/>
          </w:tcPr>
          <w:p>
            <w:pPr>
              <w:jc w:val="center"/>
              <w:rPr>
                <w:color w:val="000000"/>
                <w:sz w:val="21"/>
                <w:szCs w:val="21"/>
              </w:rPr>
            </w:pPr>
            <w:r>
              <w:rPr>
                <w:color w:val="000000"/>
                <w:sz w:val="21"/>
                <w:szCs w:val="21"/>
              </w:rPr>
              <w:t>3</w:t>
            </w:r>
          </w:p>
        </w:tc>
        <w:tc>
          <w:tcPr>
            <w:tcW w:w="1134" w:type="dxa"/>
          </w:tcPr>
          <w:p>
            <w:pPr>
              <w:ind w:firstLine="210" w:firstLineChars="100"/>
              <w:rPr>
                <w:sz w:val="21"/>
                <w:szCs w:val="21"/>
              </w:rPr>
            </w:pPr>
            <w:r>
              <w:rPr>
                <w:rFonts w:hint="eastAsia"/>
                <w:sz w:val="21"/>
                <w:szCs w:val="21"/>
              </w:rPr>
              <w:t>邱羚</w:t>
            </w:r>
          </w:p>
        </w:tc>
        <w:tc>
          <w:tcPr>
            <w:tcW w:w="3402" w:type="dxa"/>
            <w:shd w:val="clear" w:color="auto" w:fill="FFFFFF"/>
          </w:tcPr>
          <w:p>
            <w:pPr>
              <w:jc w:val="center"/>
              <w:rPr>
                <w:sz w:val="21"/>
                <w:szCs w:val="21"/>
              </w:rPr>
            </w:pPr>
            <w:r>
              <w:rPr>
                <w:rFonts w:hint="eastAsia"/>
                <w:sz w:val="21"/>
                <w:szCs w:val="21"/>
              </w:rPr>
              <w:t>《徐家汇中央活动区“十四五”规划》中期评估</w:t>
            </w:r>
          </w:p>
        </w:tc>
        <w:tc>
          <w:tcPr>
            <w:tcW w:w="1134" w:type="dxa"/>
            <w:shd w:val="clear" w:color="auto" w:fill="FFFFFF"/>
          </w:tcPr>
          <w:p>
            <w:pPr>
              <w:jc w:val="center"/>
              <w:rPr>
                <w:sz w:val="21"/>
                <w:szCs w:val="21"/>
              </w:rPr>
            </w:pPr>
            <w:r>
              <w:rPr>
                <w:rFonts w:hint="eastAsia"/>
                <w:sz w:val="21"/>
                <w:szCs w:val="21"/>
              </w:rPr>
              <w:t>技术咨询</w:t>
            </w:r>
          </w:p>
        </w:tc>
        <w:tc>
          <w:tcPr>
            <w:tcW w:w="1134" w:type="dxa"/>
            <w:shd w:val="clear" w:color="auto" w:fill="FFFFFF"/>
          </w:tcPr>
          <w:p>
            <w:pPr>
              <w:jc w:val="center"/>
              <w:rPr>
                <w:sz w:val="21"/>
                <w:szCs w:val="21"/>
              </w:rPr>
            </w:pPr>
            <w:r>
              <w:rPr>
                <w:sz w:val="21"/>
                <w:szCs w:val="21"/>
              </w:rPr>
              <w:t>2023.08-2023.12</w:t>
            </w:r>
          </w:p>
        </w:tc>
        <w:tc>
          <w:tcPr>
            <w:tcW w:w="850" w:type="dxa"/>
            <w:shd w:val="clear" w:color="auto" w:fill="FFFFFF"/>
          </w:tcPr>
          <w:p>
            <w:pPr>
              <w:jc w:val="center"/>
              <w:rPr>
                <w:sz w:val="21"/>
                <w:szCs w:val="21"/>
              </w:rPr>
            </w:pPr>
            <w:r>
              <w:rPr>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51" w:type="dxa"/>
            <w:shd w:val="clear" w:color="auto" w:fill="auto"/>
            <w:vAlign w:val="center"/>
          </w:tcPr>
          <w:p>
            <w:pPr>
              <w:jc w:val="center"/>
              <w:rPr>
                <w:color w:val="000000"/>
                <w:sz w:val="21"/>
                <w:szCs w:val="21"/>
              </w:rPr>
            </w:pPr>
            <w:r>
              <w:rPr>
                <w:color w:val="000000"/>
                <w:sz w:val="21"/>
                <w:szCs w:val="21"/>
              </w:rPr>
              <w:t>4</w:t>
            </w:r>
          </w:p>
        </w:tc>
        <w:tc>
          <w:tcPr>
            <w:tcW w:w="1134" w:type="dxa"/>
          </w:tcPr>
          <w:p>
            <w:pPr>
              <w:ind w:firstLine="210" w:firstLineChars="100"/>
              <w:rPr>
                <w:sz w:val="21"/>
                <w:szCs w:val="21"/>
              </w:rPr>
            </w:pPr>
            <w:r>
              <w:rPr>
                <w:rFonts w:hint="eastAsia"/>
                <w:sz w:val="21"/>
                <w:szCs w:val="21"/>
              </w:rPr>
              <w:t>邱羚</w:t>
            </w:r>
          </w:p>
        </w:tc>
        <w:tc>
          <w:tcPr>
            <w:tcW w:w="3402" w:type="dxa"/>
            <w:shd w:val="clear" w:color="auto" w:fill="FFFFFF"/>
          </w:tcPr>
          <w:p>
            <w:pPr>
              <w:jc w:val="center"/>
              <w:rPr>
                <w:sz w:val="21"/>
                <w:szCs w:val="21"/>
              </w:rPr>
            </w:pPr>
            <w:r>
              <w:rPr>
                <w:rFonts w:hint="eastAsia"/>
                <w:sz w:val="21"/>
                <w:szCs w:val="21"/>
              </w:rPr>
              <w:t>关于加快推进本市邮轮旅游高质量发展的实施意见与决策分析</w:t>
            </w:r>
          </w:p>
        </w:tc>
        <w:tc>
          <w:tcPr>
            <w:tcW w:w="1134" w:type="dxa"/>
            <w:shd w:val="clear" w:color="auto" w:fill="FFFFFF"/>
          </w:tcPr>
          <w:p>
            <w:pPr>
              <w:jc w:val="center"/>
              <w:rPr>
                <w:sz w:val="21"/>
                <w:szCs w:val="21"/>
              </w:rPr>
            </w:pPr>
            <w:r>
              <w:rPr>
                <w:rFonts w:hint="eastAsia"/>
                <w:sz w:val="21"/>
                <w:szCs w:val="21"/>
              </w:rPr>
              <w:t>技术咨询</w:t>
            </w:r>
          </w:p>
        </w:tc>
        <w:tc>
          <w:tcPr>
            <w:tcW w:w="1134" w:type="dxa"/>
            <w:shd w:val="clear" w:color="auto" w:fill="FFFFFF"/>
          </w:tcPr>
          <w:p>
            <w:pPr>
              <w:jc w:val="center"/>
              <w:rPr>
                <w:sz w:val="21"/>
                <w:szCs w:val="21"/>
              </w:rPr>
            </w:pPr>
            <w:r>
              <w:rPr>
                <w:sz w:val="21"/>
                <w:szCs w:val="21"/>
              </w:rPr>
              <w:t>2023.04-2023.09</w:t>
            </w:r>
          </w:p>
        </w:tc>
        <w:tc>
          <w:tcPr>
            <w:tcW w:w="850" w:type="dxa"/>
            <w:shd w:val="clear" w:color="auto" w:fill="FFFFFF"/>
          </w:tcPr>
          <w:p>
            <w:pPr>
              <w:jc w:val="center"/>
              <w:rPr>
                <w:sz w:val="21"/>
                <w:szCs w:val="21"/>
              </w:rPr>
            </w:pPr>
            <w:r>
              <w:rPr>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1" w:type="dxa"/>
            <w:shd w:val="clear" w:color="auto" w:fill="auto"/>
            <w:vAlign w:val="center"/>
          </w:tcPr>
          <w:p>
            <w:pPr>
              <w:jc w:val="center"/>
              <w:rPr>
                <w:color w:val="000000"/>
                <w:sz w:val="21"/>
                <w:szCs w:val="21"/>
              </w:rPr>
            </w:pPr>
            <w:r>
              <w:rPr>
                <w:color w:val="000000"/>
                <w:sz w:val="21"/>
                <w:szCs w:val="21"/>
              </w:rPr>
              <w:t>5</w:t>
            </w:r>
          </w:p>
        </w:tc>
        <w:tc>
          <w:tcPr>
            <w:tcW w:w="1134" w:type="dxa"/>
          </w:tcPr>
          <w:p>
            <w:pPr>
              <w:jc w:val="center"/>
              <w:rPr>
                <w:sz w:val="21"/>
                <w:szCs w:val="21"/>
              </w:rPr>
            </w:pPr>
            <w:r>
              <w:rPr>
                <w:rFonts w:hint="eastAsia"/>
                <w:sz w:val="21"/>
                <w:szCs w:val="21"/>
              </w:rPr>
              <w:t>齐林恺</w:t>
            </w:r>
          </w:p>
        </w:tc>
        <w:tc>
          <w:tcPr>
            <w:tcW w:w="3402" w:type="dxa"/>
            <w:shd w:val="clear" w:color="auto" w:fill="FFFFFF"/>
          </w:tcPr>
          <w:p>
            <w:pPr>
              <w:jc w:val="center"/>
              <w:rPr>
                <w:sz w:val="21"/>
                <w:szCs w:val="21"/>
              </w:rPr>
            </w:pPr>
            <w:r>
              <w:rPr>
                <w:sz w:val="21"/>
                <w:szCs w:val="21"/>
              </w:rPr>
              <w:t>2023年上海市徐汇区政府目标管理工作第三方咨询</w:t>
            </w:r>
          </w:p>
        </w:tc>
        <w:tc>
          <w:tcPr>
            <w:tcW w:w="1134" w:type="dxa"/>
            <w:shd w:val="clear" w:color="auto" w:fill="FFFFFF"/>
          </w:tcPr>
          <w:p>
            <w:pPr>
              <w:jc w:val="center"/>
              <w:rPr>
                <w:sz w:val="21"/>
                <w:szCs w:val="21"/>
              </w:rPr>
            </w:pPr>
            <w:r>
              <w:rPr>
                <w:rFonts w:hint="eastAsia"/>
                <w:sz w:val="21"/>
                <w:szCs w:val="21"/>
              </w:rPr>
              <w:t>技术咨询</w:t>
            </w:r>
          </w:p>
        </w:tc>
        <w:tc>
          <w:tcPr>
            <w:tcW w:w="1134" w:type="dxa"/>
            <w:shd w:val="clear" w:color="auto" w:fill="FFFFFF"/>
          </w:tcPr>
          <w:p>
            <w:pPr>
              <w:jc w:val="center"/>
              <w:rPr>
                <w:sz w:val="21"/>
                <w:szCs w:val="21"/>
              </w:rPr>
            </w:pPr>
            <w:r>
              <w:rPr>
                <w:sz w:val="21"/>
                <w:szCs w:val="21"/>
              </w:rPr>
              <w:t>2023.11-2023.12</w:t>
            </w:r>
          </w:p>
        </w:tc>
        <w:tc>
          <w:tcPr>
            <w:tcW w:w="850" w:type="dxa"/>
            <w:shd w:val="clear" w:color="auto" w:fill="FFFFFF"/>
          </w:tcPr>
          <w:p>
            <w:pPr>
              <w:jc w:val="center"/>
              <w:rPr>
                <w:sz w:val="21"/>
                <w:szCs w:val="21"/>
              </w:rPr>
            </w:pPr>
            <w:r>
              <w:rPr>
                <w:sz w:val="21"/>
                <w:szCs w:val="21"/>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51" w:type="dxa"/>
            <w:shd w:val="clear" w:color="auto" w:fill="auto"/>
            <w:vAlign w:val="center"/>
          </w:tcPr>
          <w:p>
            <w:pPr>
              <w:jc w:val="center"/>
              <w:rPr>
                <w:color w:val="000000"/>
                <w:sz w:val="21"/>
                <w:szCs w:val="21"/>
              </w:rPr>
            </w:pPr>
            <w:r>
              <w:rPr>
                <w:color w:val="000000"/>
                <w:sz w:val="21"/>
                <w:szCs w:val="21"/>
              </w:rPr>
              <w:t>6</w:t>
            </w:r>
          </w:p>
        </w:tc>
        <w:tc>
          <w:tcPr>
            <w:tcW w:w="1134" w:type="dxa"/>
          </w:tcPr>
          <w:p>
            <w:pPr>
              <w:jc w:val="center"/>
              <w:rPr>
                <w:sz w:val="21"/>
                <w:szCs w:val="21"/>
              </w:rPr>
            </w:pPr>
            <w:r>
              <w:rPr>
                <w:rFonts w:hint="eastAsia"/>
                <w:sz w:val="21"/>
                <w:szCs w:val="21"/>
              </w:rPr>
              <w:t>齐林恺</w:t>
            </w:r>
          </w:p>
        </w:tc>
        <w:tc>
          <w:tcPr>
            <w:tcW w:w="3402" w:type="dxa"/>
            <w:shd w:val="clear" w:color="auto" w:fill="FFFFFF"/>
          </w:tcPr>
          <w:p>
            <w:pPr>
              <w:jc w:val="center"/>
              <w:rPr>
                <w:sz w:val="21"/>
                <w:szCs w:val="21"/>
              </w:rPr>
            </w:pPr>
            <w:r>
              <w:rPr>
                <w:sz w:val="21"/>
                <w:szCs w:val="21"/>
              </w:rPr>
              <w:t>2023年上海市徐汇区政府执行力指数课题研究</w:t>
            </w:r>
          </w:p>
        </w:tc>
        <w:tc>
          <w:tcPr>
            <w:tcW w:w="1134" w:type="dxa"/>
            <w:shd w:val="clear" w:color="auto" w:fill="FFFFFF"/>
          </w:tcPr>
          <w:p>
            <w:pPr>
              <w:jc w:val="center"/>
              <w:rPr>
                <w:sz w:val="21"/>
                <w:szCs w:val="21"/>
              </w:rPr>
            </w:pPr>
            <w:r>
              <w:rPr>
                <w:rFonts w:hint="eastAsia"/>
                <w:sz w:val="21"/>
                <w:szCs w:val="21"/>
              </w:rPr>
              <w:t>技术咨询</w:t>
            </w:r>
          </w:p>
        </w:tc>
        <w:tc>
          <w:tcPr>
            <w:tcW w:w="1134" w:type="dxa"/>
            <w:shd w:val="clear" w:color="auto" w:fill="FFFFFF"/>
          </w:tcPr>
          <w:p>
            <w:pPr>
              <w:jc w:val="center"/>
              <w:rPr>
                <w:sz w:val="21"/>
                <w:szCs w:val="21"/>
              </w:rPr>
            </w:pPr>
            <w:r>
              <w:rPr>
                <w:sz w:val="21"/>
                <w:szCs w:val="21"/>
              </w:rPr>
              <w:t>2023.11-2023.12</w:t>
            </w:r>
          </w:p>
        </w:tc>
        <w:tc>
          <w:tcPr>
            <w:tcW w:w="850" w:type="dxa"/>
            <w:shd w:val="clear" w:color="auto" w:fill="FFFFFF"/>
          </w:tcPr>
          <w:p>
            <w:pPr>
              <w:jc w:val="center"/>
              <w:rPr>
                <w:sz w:val="21"/>
                <w:szCs w:val="21"/>
              </w:rPr>
            </w:pPr>
            <w:r>
              <w:rPr>
                <w:rFonts w:hint="eastAsia"/>
                <w:sz w:val="21"/>
                <w:szCs w:val="21"/>
              </w:rPr>
              <w:t>6</w:t>
            </w:r>
            <w:r>
              <w:rPr>
                <w:sz w:val="21"/>
                <w:szCs w:val="21"/>
              </w:rPr>
              <w:t>.8</w:t>
            </w:r>
          </w:p>
        </w:tc>
      </w:tr>
    </w:tbl>
    <w:p>
      <w:pPr>
        <w:spacing w:line="300" w:lineRule="exact"/>
        <w:rPr>
          <w:rFonts w:ascii="Times New Roman" w:hAnsi="Times New Roman" w:eastAsia="仿宋" w:cs="Times New Roman"/>
          <w:color w:val="000000" w:themeColor="text1"/>
          <w14:textFill>
            <w14:solidFill>
              <w14:schemeClr w14:val="tx1"/>
            </w14:solidFill>
          </w14:textFill>
        </w:rPr>
      </w:pPr>
    </w:p>
    <w:p>
      <w:r>
        <w:t>4.3.2教师</w:t>
      </w:r>
      <w:r>
        <w:rPr>
          <w:rFonts w:hint="eastAsia"/>
        </w:rPr>
        <w:t>发表论文</w:t>
      </w:r>
      <w:r>
        <w:t>情况</w:t>
      </w:r>
    </w:p>
    <w:p>
      <w:pPr>
        <w:ind w:firstLine="240" w:firstLineChars="100"/>
      </w:pPr>
    </w:p>
    <w:p>
      <w:pPr>
        <w:ind w:firstLine="240" w:firstLineChars="100"/>
      </w:pPr>
      <w:r>
        <w:rPr>
          <w:rFonts w:hint="eastAsia"/>
        </w:rPr>
        <w:t>本专业教师在</w:t>
      </w:r>
      <w:r>
        <w:t>2022-2023</w:t>
      </w:r>
      <w:r>
        <w:rPr>
          <w:rFonts w:hint="eastAsia"/>
        </w:rPr>
        <w:t>年度发表学术论文2</w:t>
      </w:r>
      <w:r>
        <w:t>0</w:t>
      </w:r>
      <w:r>
        <w:rPr>
          <w:rFonts w:hint="eastAsia"/>
        </w:rPr>
        <w:t>篇。</w:t>
      </w:r>
    </w:p>
    <w:p/>
    <w:p>
      <w:pPr>
        <w:spacing w:line="300" w:lineRule="exact"/>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w:t>
      </w:r>
      <w:r>
        <w:rPr>
          <w:rFonts w:hint="eastAsia" w:ascii="Times New Roman" w:hAnsi="Times New Roman" w:eastAsia="仿宋" w:cs="Times New Roman"/>
          <w:color w:val="000000" w:themeColor="text1"/>
          <w:lang w:val="en-US" w:eastAsia="zh-CN"/>
          <w14:textFill>
            <w14:solidFill>
              <w14:schemeClr w14:val="tx1"/>
            </w14:solidFill>
          </w14:textFill>
        </w:rPr>
        <w:t>8</w:t>
      </w:r>
      <w:r>
        <w:rPr>
          <w:rFonts w:hint="eastAsia" w:ascii="Times New Roman" w:hAnsi="Times New Roman" w:eastAsia="仿宋" w:cs="Times New Roman"/>
          <w:color w:val="000000" w:themeColor="text1"/>
          <w14:textFill>
            <w14:solidFill>
              <w14:schemeClr w14:val="tx1"/>
            </w14:solidFill>
          </w14:textFill>
        </w:rPr>
        <w:t>专业教师发表论文情况</w:t>
      </w:r>
    </w:p>
    <w:tbl>
      <w:tblPr>
        <w:tblStyle w:val="19"/>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6"/>
        <w:gridCol w:w="3691"/>
        <w:gridCol w:w="1431"/>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rPr>
                <w:sz w:val="21"/>
                <w:szCs w:val="21"/>
              </w:rPr>
            </w:pPr>
            <w:r>
              <w:rPr>
                <w:sz w:val="21"/>
                <w:szCs w:val="21"/>
              </w:rPr>
              <w:t>序号</w:t>
            </w:r>
          </w:p>
        </w:tc>
        <w:tc>
          <w:tcPr>
            <w:tcW w:w="3691" w:type="dxa"/>
            <w:vAlign w:val="center"/>
          </w:tcPr>
          <w:p>
            <w:pPr>
              <w:jc w:val="center"/>
              <w:rPr>
                <w:sz w:val="21"/>
                <w:szCs w:val="21"/>
              </w:rPr>
            </w:pPr>
            <w:r>
              <w:rPr>
                <w:sz w:val="21"/>
                <w:szCs w:val="21"/>
              </w:rPr>
              <w:t>论文、专著名称</w:t>
            </w:r>
          </w:p>
        </w:tc>
        <w:tc>
          <w:tcPr>
            <w:tcW w:w="1431" w:type="dxa"/>
            <w:vAlign w:val="center"/>
          </w:tcPr>
          <w:p>
            <w:pPr>
              <w:jc w:val="center"/>
              <w:rPr>
                <w:sz w:val="21"/>
                <w:szCs w:val="21"/>
              </w:rPr>
            </w:pPr>
            <w:r>
              <w:rPr>
                <w:sz w:val="21"/>
                <w:szCs w:val="21"/>
              </w:rPr>
              <w:t>发表刊物、出版社名称</w:t>
            </w:r>
          </w:p>
        </w:tc>
        <w:tc>
          <w:tcPr>
            <w:tcW w:w="1134" w:type="dxa"/>
            <w:vAlign w:val="center"/>
          </w:tcPr>
          <w:p>
            <w:pPr>
              <w:jc w:val="center"/>
              <w:rPr>
                <w:sz w:val="21"/>
                <w:szCs w:val="21"/>
              </w:rPr>
            </w:pPr>
            <w:r>
              <w:rPr>
                <w:sz w:val="21"/>
                <w:szCs w:val="21"/>
              </w:rPr>
              <w:t>时间</w:t>
            </w:r>
          </w:p>
        </w:tc>
        <w:tc>
          <w:tcPr>
            <w:tcW w:w="1134" w:type="dxa"/>
            <w:vAlign w:val="center"/>
          </w:tcPr>
          <w:p>
            <w:pPr>
              <w:jc w:val="center"/>
              <w:rPr>
                <w:sz w:val="21"/>
                <w:szCs w:val="21"/>
              </w:rPr>
            </w:pPr>
            <w:r>
              <w:rPr>
                <w:sz w:val="21"/>
                <w:szCs w:val="21"/>
              </w:rPr>
              <w:t>作者姓名</w:t>
            </w:r>
          </w:p>
        </w:tc>
        <w:tc>
          <w:tcPr>
            <w:tcW w:w="709" w:type="dxa"/>
            <w:vAlign w:val="center"/>
          </w:tcPr>
          <w:p>
            <w:pPr>
              <w:jc w:val="center"/>
              <w:rPr>
                <w:sz w:val="21"/>
                <w:szCs w:val="21"/>
              </w:rPr>
            </w:pPr>
            <w:r>
              <w:rPr>
                <w:sz w:val="21"/>
                <w:szCs w:val="21"/>
              </w:rPr>
              <w:t>第几</w:t>
            </w:r>
          </w:p>
          <w:p>
            <w:pPr>
              <w:jc w:val="center"/>
              <w:rPr>
                <w:sz w:val="21"/>
                <w:szCs w:val="21"/>
              </w:rPr>
            </w:pPr>
            <w:r>
              <w:rPr>
                <w:sz w:val="21"/>
                <w:szCs w:val="21"/>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rPr>
                <w:sz w:val="21"/>
                <w:szCs w:val="21"/>
              </w:rPr>
            </w:pPr>
            <w:r>
              <w:rPr>
                <w:rFonts w:hint="eastAsia"/>
                <w:sz w:val="21"/>
                <w:szCs w:val="21"/>
              </w:rPr>
              <w:t>1</w:t>
            </w:r>
          </w:p>
        </w:tc>
        <w:tc>
          <w:tcPr>
            <w:tcW w:w="3691" w:type="dxa"/>
          </w:tcPr>
          <w:p>
            <w:pPr>
              <w:jc w:val="center"/>
              <w:rPr>
                <w:sz w:val="21"/>
                <w:szCs w:val="21"/>
              </w:rPr>
            </w:pPr>
            <w:r>
              <w:rPr>
                <w:rFonts w:hint="eastAsia"/>
                <w:sz w:val="21"/>
                <w:szCs w:val="21"/>
              </w:rPr>
              <w:t>新文科建设背景下图情档学科数字化转型发展的定位研究</w:t>
            </w:r>
          </w:p>
        </w:tc>
        <w:tc>
          <w:tcPr>
            <w:tcW w:w="1431" w:type="dxa"/>
          </w:tcPr>
          <w:p>
            <w:pPr>
              <w:jc w:val="center"/>
              <w:rPr>
                <w:sz w:val="21"/>
                <w:szCs w:val="21"/>
              </w:rPr>
            </w:pPr>
            <w:r>
              <w:rPr>
                <w:rFonts w:hint="eastAsia"/>
                <w:sz w:val="21"/>
                <w:szCs w:val="21"/>
              </w:rPr>
              <w:t>图书馆理论与实践</w:t>
            </w:r>
          </w:p>
        </w:tc>
        <w:tc>
          <w:tcPr>
            <w:tcW w:w="1134" w:type="dxa"/>
          </w:tcPr>
          <w:p>
            <w:pPr>
              <w:jc w:val="center"/>
              <w:rPr>
                <w:sz w:val="21"/>
                <w:szCs w:val="21"/>
              </w:rPr>
            </w:pPr>
            <w:r>
              <w:rPr>
                <w:rFonts w:hint="eastAsia"/>
                <w:sz w:val="21"/>
                <w:szCs w:val="21"/>
              </w:rPr>
              <w:t>2023(5)</w:t>
            </w:r>
          </w:p>
        </w:tc>
        <w:tc>
          <w:tcPr>
            <w:tcW w:w="1134" w:type="dxa"/>
          </w:tcPr>
          <w:p>
            <w:pPr>
              <w:jc w:val="center"/>
              <w:rPr>
                <w:sz w:val="21"/>
                <w:szCs w:val="21"/>
              </w:rPr>
            </w:pPr>
            <w:r>
              <w:rPr>
                <w:rFonts w:hint="eastAsia"/>
                <w:sz w:val="21"/>
                <w:szCs w:val="21"/>
              </w:rPr>
              <w:t>曹如中</w:t>
            </w:r>
          </w:p>
        </w:tc>
        <w:tc>
          <w:tcPr>
            <w:tcW w:w="709" w:type="dxa"/>
          </w:tcPr>
          <w:p>
            <w:pPr>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rPr>
                <w:sz w:val="21"/>
                <w:szCs w:val="21"/>
              </w:rPr>
            </w:pPr>
            <w:r>
              <w:rPr>
                <w:rFonts w:hint="eastAsia"/>
                <w:sz w:val="21"/>
                <w:szCs w:val="21"/>
              </w:rPr>
              <w:t>2</w:t>
            </w:r>
          </w:p>
        </w:tc>
        <w:tc>
          <w:tcPr>
            <w:tcW w:w="3691" w:type="dxa"/>
          </w:tcPr>
          <w:p>
            <w:pPr>
              <w:jc w:val="center"/>
              <w:rPr>
                <w:sz w:val="21"/>
                <w:szCs w:val="21"/>
              </w:rPr>
            </w:pPr>
            <w:r>
              <w:rPr>
                <w:rFonts w:hint="eastAsia"/>
                <w:sz w:val="21"/>
                <w:szCs w:val="21"/>
              </w:rPr>
              <w:t>新文科背景下数字化赋能图情档学科向数字人文转型发展研究</w:t>
            </w:r>
          </w:p>
        </w:tc>
        <w:tc>
          <w:tcPr>
            <w:tcW w:w="1431" w:type="dxa"/>
          </w:tcPr>
          <w:p>
            <w:pPr>
              <w:jc w:val="center"/>
              <w:rPr>
                <w:sz w:val="21"/>
                <w:szCs w:val="21"/>
              </w:rPr>
            </w:pPr>
            <w:r>
              <w:rPr>
                <w:rFonts w:hint="eastAsia"/>
                <w:sz w:val="21"/>
                <w:szCs w:val="21"/>
              </w:rPr>
              <w:t>图书馆</w:t>
            </w:r>
          </w:p>
        </w:tc>
        <w:tc>
          <w:tcPr>
            <w:tcW w:w="1134" w:type="dxa"/>
          </w:tcPr>
          <w:p>
            <w:pPr>
              <w:jc w:val="center"/>
              <w:rPr>
                <w:sz w:val="21"/>
                <w:szCs w:val="21"/>
              </w:rPr>
            </w:pPr>
            <w:r>
              <w:rPr>
                <w:rFonts w:hint="eastAsia"/>
                <w:sz w:val="21"/>
                <w:szCs w:val="21"/>
              </w:rPr>
              <w:t>2022(</w:t>
            </w:r>
            <w:r>
              <w:rPr>
                <w:sz w:val="21"/>
                <w:szCs w:val="21"/>
              </w:rPr>
              <w:t>8</w:t>
            </w:r>
            <w:r>
              <w:rPr>
                <w:rFonts w:hint="eastAsia"/>
                <w:sz w:val="21"/>
                <w:szCs w:val="21"/>
              </w:rPr>
              <w:t>)</w:t>
            </w:r>
          </w:p>
        </w:tc>
        <w:tc>
          <w:tcPr>
            <w:tcW w:w="1134" w:type="dxa"/>
          </w:tcPr>
          <w:p>
            <w:pPr>
              <w:jc w:val="center"/>
              <w:rPr>
                <w:sz w:val="21"/>
                <w:szCs w:val="21"/>
              </w:rPr>
            </w:pPr>
            <w:r>
              <w:rPr>
                <w:rFonts w:hint="eastAsia"/>
                <w:sz w:val="21"/>
                <w:szCs w:val="21"/>
              </w:rPr>
              <w:t>曹如中</w:t>
            </w:r>
          </w:p>
        </w:tc>
        <w:tc>
          <w:tcPr>
            <w:tcW w:w="709" w:type="dxa"/>
          </w:tcPr>
          <w:p>
            <w:pPr>
              <w:jc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rPr>
                <w:sz w:val="21"/>
                <w:szCs w:val="21"/>
              </w:rPr>
            </w:pPr>
            <w:r>
              <w:rPr>
                <w:rFonts w:hint="eastAsia"/>
                <w:sz w:val="21"/>
                <w:szCs w:val="21"/>
              </w:rPr>
              <w:t>3</w:t>
            </w:r>
          </w:p>
        </w:tc>
        <w:tc>
          <w:tcPr>
            <w:tcW w:w="3691" w:type="dxa"/>
          </w:tcPr>
          <w:p>
            <w:pPr>
              <w:jc w:val="center"/>
              <w:rPr>
                <w:sz w:val="21"/>
                <w:szCs w:val="21"/>
              </w:rPr>
            </w:pPr>
            <w:r>
              <w:rPr>
                <w:rFonts w:hint="eastAsia"/>
                <w:sz w:val="21"/>
                <w:szCs w:val="21"/>
              </w:rPr>
              <w:t>新文科建设背景下图情档学科数字化转型发展的实现途径及学科坚守</w:t>
            </w:r>
          </w:p>
        </w:tc>
        <w:tc>
          <w:tcPr>
            <w:tcW w:w="1431" w:type="dxa"/>
          </w:tcPr>
          <w:p>
            <w:pPr>
              <w:jc w:val="center"/>
              <w:rPr>
                <w:sz w:val="21"/>
                <w:szCs w:val="21"/>
              </w:rPr>
            </w:pPr>
            <w:r>
              <w:rPr>
                <w:rFonts w:hint="eastAsia"/>
                <w:sz w:val="21"/>
                <w:szCs w:val="21"/>
              </w:rPr>
              <w:t>图书馆</w:t>
            </w:r>
          </w:p>
        </w:tc>
        <w:tc>
          <w:tcPr>
            <w:tcW w:w="1134" w:type="dxa"/>
          </w:tcPr>
          <w:p>
            <w:pPr>
              <w:jc w:val="center"/>
              <w:rPr>
                <w:sz w:val="21"/>
                <w:szCs w:val="21"/>
              </w:rPr>
            </w:pPr>
            <w:r>
              <w:rPr>
                <w:rFonts w:hint="eastAsia"/>
                <w:sz w:val="21"/>
                <w:szCs w:val="21"/>
              </w:rPr>
              <w:t>2023(</w:t>
            </w:r>
            <w:r>
              <w:rPr>
                <w:sz w:val="21"/>
                <w:szCs w:val="21"/>
              </w:rPr>
              <w:t>12</w:t>
            </w:r>
            <w:r>
              <w:rPr>
                <w:rFonts w:hint="eastAsia"/>
                <w:sz w:val="21"/>
                <w:szCs w:val="21"/>
              </w:rPr>
              <w:t>)</w:t>
            </w:r>
          </w:p>
        </w:tc>
        <w:tc>
          <w:tcPr>
            <w:tcW w:w="1134" w:type="dxa"/>
          </w:tcPr>
          <w:p>
            <w:pPr>
              <w:jc w:val="center"/>
              <w:rPr>
                <w:sz w:val="21"/>
                <w:szCs w:val="21"/>
              </w:rPr>
            </w:pPr>
            <w:r>
              <w:rPr>
                <w:rFonts w:hint="eastAsia"/>
                <w:sz w:val="21"/>
                <w:szCs w:val="21"/>
              </w:rPr>
              <w:t>曹如中</w:t>
            </w:r>
          </w:p>
        </w:tc>
        <w:tc>
          <w:tcPr>
            <w:tcW w:w="709" w:type="dxa"/>
          </w:tcPr>
          <w:p>
            <w:pPr>
              <w:jc w:val="center"/>
              <w:rPr>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4</w:t>
            </w:r>
          </w:p>
        </w:tc>
        <w:tc>
          <w:tcPr>
            <w:tcW w:w="3691" w:type="dxa"/>
            <w:vAlign w:val="center"/>
          </w:tcPr>
          <w:p>
            <w:pPr>
              <w:textAlignment w:val="center"/>
              <w:rPr>
                <w:sz w:val="21"/>
                <w:szCs w:val="21"/>
              </w:rPr>
            </w:pPr>
            <w:r>
              <w:rPr>
                <w:rFonts w:hint="eastAsia"/>
                <w:sz w:val="21"/>
                <w:szCs w:val="21"/>
              </w:rPr>
              <w:t>基于文献计量的文化创意产业政策研究可视化分析</w:t>
            </w:r>
          </w:p>
        </w:tc>
        <w:tc>
          <w:tcPr>
            <w:tcW w:w="1431" w:type="dxa"/>
            <w:vAlign w:val="center"/>
          </w:tcPr>
          <w:p>
            <w:pPr>
              <w:jc w:val="center"/>
              <w:textAlignment w:val="center"/>
              <w:rPr>
                <w:sz w:val="21"/>
                <w:szCs w:val="21"/>
              </w:rPr>
            </w:pPr>
            <w:r>
              <w:rPr>
                <w:rFonts w:hint="eastAsia"/>
                <w:sz w:val="21"/>
                <w:szCs w:val="21"/>
              </w:rPr>
              <w:t>丝绸</w:t>
            </w:r>
          </w:p>
        </w:tc>
        <w:tc>
          <w:tcPr>
            <w:tcW w:w="1134" w:type="dxa"/>
            <w:vAlign w:val="center"/>
          </w:tcPr>
          <w:p>
            <w:pPr>
              <w:jc w:val="center"/>
              <w:textAlignment w:val="center"/>
              <w:rPr>
                <w:sz w:val="21"/>
                <w:szCs w:val="21"/>
              </w:rPr>
            </w:pPr>
            <w:r>
              <w:rPr>
                <w:rFonts w:hint="eastAsia"/>
                <w:sz w:val="21"/>
                <w:szCs w:val="21"/>
              </w:rPr>
              <w:t>2022(3)</w:t>
            </w:r>
          </w:p>
        </w:tc>
        <w:tc>
          <w:tcPr>
            <w:tcW w:w="1134" w:type="dxa"/>
            <w:vAlign w:val="center"/>
          </w:tcPr>
          <w:p>
            <w:pPr>
              <w:jc w:val="center"/>
              <w:textAlignment w:val="center"/>
              <w:rPr>
                <w:sz w:val="21"/>
                <w:szCs w:val="21"/>
              </w:rPr>
            </w:pPr>
            <w:r>
              <w:rPr>
                <w:rFonts w:hint="eastAsia"/>
                <w:sz w:val="21"/>
                <w:szCs w:val="21"/>
              </w:rPr>
              <w:t>曹如中</w:t>
            </w:r>
          </w:p>
        </w:tc>
        <w:tc>
          <w:tcPr>
            <w:tcW w:w="709" w:type="dxa"/>
            <w:vAlign w:val="center"/>
          </w:tcPr>
          <w:p>
            <w:pPr>
              <w:jc w:val="center"/>
              <w:textAlignment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5</w:t>
            </w:r>
          </w:p>
        </w:tc>
        <w:tc>
          <w:tcPr>
            <w:tcW w:w="3691" w:type="dxa"/>
            <w:vAlign w:val="center"/>
          </w:tcPr>
          <w:p>
            <w:pPr>
              <w:textAlignment w:val="center"/>
              <w:rPr>
                <w:sz w:val="21"/>
                <w:szCs w:val="21"/>
              </w:rPr>
            </w:pPr>
            <w:r>
              <w:rPr>
                <w:rFonts w:hint="eastAsia"/>
                <w:sz w:val="21"/>
                <w:szCs w:val="21"/>
              </w:rPr>
              <w:t>长三角城市群文化创意产业空间集聚及影响效应研究</w:t>
            </w:r>
          </w:p>
        </w:tc>
        <w:tc>
          <w:tcPr>
            <w:tcW w:w="1431" w:type="dxa"/>
            <w:vAlign w:val="center"/>
          </w:tcPr>
          <w:p>
            <w:pPr>
              <w:jc w:val="center"/>
              <w:textAlignment w:val="center"/>
              <w:rPr>
                <w:sz w:val="21"/>
                <w:szCs w:val="21"/>
              </w:rPr>
            </w:pPr>
            <w:r>
              <w:rPr>
                <w:rFonts w:hint="eastAsia"/>
                <w:sz w:val="21"/>
                <w:szCs w:val="21"/>
              </w:rPr>
              <w:t>丝绸</w:t>
            </w:r>
          </w:p>
        </w:tc>
        <w:tc>
          <w:tcPr>
            <w:tcW w:w="1134" w:type="dxa"/>
            <w:vAlign w:val="center"/>
          </w:tcPr>
          <w:p>
            <w:pPr>
              <w:jc w:val="center"/>
              <w:textAlignment w:val="center"/>
              <w:rPr>
                <w:sz w:val="21"/>
                <w:szCs w:val="21"/>
              </w:rPr>
            </w:pPr>
            <w:r>
              <w:rPr>
                <w:rFonts w:hint="eastAsia"/>
                <w:sz w:val="21"/>
                <w:szCs w:val="21"/>
              </w:rPr>
              <w:t>2022(8)</w:t>
            </w:r>
          </w:p>
        </w:tc>
        <w:tc>
          <w:tcPr>
            <w:tcW w:w="1134" w:type="dxa"/>
            <w:vAlign w:val="center"/>
          </w:tcPr>
          <w:p>
            <w:pPr>
              <w:jc w:val="center"/>
              <w:textAlignment w:val="center"/>
              <w:rPr>
                <w:sz w:val="21"/>
                <w:szCs w:val="21"/>
              </w:rPr>
            </w:pPr>
            <w:r>
              <w:rPr>
                <w:rFonts w:hint="eastAsia"/>
                <w:sz w:val="21"/>
                <w:szCs w:val="21"/>
              </w:rPr>
              <w:t>曹如中</w:t>
            </w:r>
          </w:p>
        </w:tc>
        <w:tc>
          <w:tcPr>
            <w:tcW w:w="709" w:type="dxa"/>
            <w:vAlign w:val="center"/>
          </w:tcPr>
          <w:p>
            <w:pPr>
              <w:jc w:val="center"/>
              <w:textAlignment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6</w:t>
            </w:r>
          </w:p>
        </w:tc>
        <w:tc>
          <w:tcPr>
            <w:tcW w:w="3691" w:type="dxa"/>
            <w:vAlign w:val="center"/>
          </w:tcPr>
          <w:p>
            <w:pPr>
              <w:textAlignment w:val="center"/>
              <w:rPr>
                <w:sz w:val="21"/>
                <w:szCs w:val="21"/>
              </w:rPr>
            </w:pPr>
            <w:r>
              <w:rPr>
                <w:rFonts w:hint="eastAsia"/>
                <w:sz w:val="21"/>
                <w:szCs w:val="21"/>
              </w:rPr>
              <w:t>长三角城市群文化创意产业空间关联及网络结构特征研究</w:t>
            </w:r>
          </w:p>
        </w:tc>
        <w:tc>
          <w:tcPr>
            <w:tcW w:w="1431" w:type="dxa"/>
            <w:vAlign w:val="center"/>
          </w:tcPr>
          <w:p>
            <w:pPr>
              <w:jc w:val="center"/>
              <w:textAlignment w:val="center"/>
              <w:rPr>
                <w:sz w:val="21"/>
                <w:szCs w:val="21"/>
              </w:rPr>
            </w:pPr>
            <w:r>
              <w:rPr>
                <w:rFonts w:hint="eastAsia"/>
                <w:sz w:val="21"/>
                <w:szCs w:val="21"/>
              </w:rPr>
              <w:t>丝绸</w:t>
            </w:r>
          </w:p>
        </w:tc>
        <w:tc>
          <w:tcPr>
            <w:tcW w:w="1134" w:type="dxa"/>
            <w:vAlign w:val="center"/>
          </w:tcPr>
          <w:p>
            <w:pPr>
              <w:jc w:val="center"/>
              <w:textAlignment w:val="center"/>
              <w:rPr>
                <w:sz w:val="21"/>
                <w:szCs w:val="21"/>
              </w:rPr>
            </w:pPr>
            <w:r>
              <w:rPr>
                <w:rFonts w:hint="eastAsia"/>
                <w:sz w:val="21"/>
                <w:szCs w:val="21"/>
              </w:rPr>
              <w:t>2023(2)</w:t>
            </w:r>
          </w:p>
        </w:tc>
        <w:tc>
          <w:tcPr>
            <w:tcW w:w="1134" w:type="dxa"/>
            <w:vAlign w:val="center"/>
          </w:tcPr>
          <w:p>
            <w:pPr>
              <w:jc w:val="center"/>
              <w:textAlignment w:val="center"/>
              <w:rPr>
                <w:sz w:val="21"/>
                <w:szCs w:val="21"/>
              </w:rPr>
            </w:pPr>
            <w:r>
              <w:rPr>
                <w:rFonts w:hint="eastAsia"/>
                <w:sz w:val="21"/>
                <w:szCs w:val="21"/>
              </w:rPr>
              <w:t>曹如中</w:t>
            </w:r>
          </w:p>
        </w:tc>
        <w:tc>
          <w:tcPr>
            <w:tcW w:w="709" w:type="dxa"/>
            <w:vAlign w:val="center"/>
          </w:tcPr>
          <w:p>
            <w:pPr>
              <w:jc w:val="center"/>
              <w:textAlignment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7</w:t>
            </w:r>
          </w:p>
        </w:tc>
        <w:tc>
          <w:tcPr>
            <w:tcW w:w="3691" w:type="dxa"/>
          </w:tcPr>
          <w:p>
            <w:pPr>
              <w:textAlignment w:val="center"/>
              <w:rPr>
                <w:sz w:val="21"/>
                <w:szCs w:val="21"/>
              </w:rPr>
            </w:pPr>
            <w:r>
              <w:rPr>
                <w:rFonts w:hint="eastAsia"/>
                <w:sz w:val="21"/>
                <w:szCs w:val="21"/>
              </w:rPr>
              <w:t>论全球城市文化网络的演进趋势与运作规律</w:t>
            </w:r>
          </w:p>
        </w:tc>
        <w:tc>
          <w:tcPr>
            <w:tcW w:w="1431" w:type="dxa"/>
          </w:tcPr>
          <w:p>
            <w:pPr>
              <w:textAlignment w:val="center"/>
              <w:rPr>
                <w:sz w:val="21"/>
                <w:szCs w:val="21"/>
              </w:rPr>
            </w:pPr>
            <w:r>
              <w:rPr>
                <w:rFonts w:hint="eastAsia"/>
                <w:sz w:val="21"/>
                <w:szCs w:val="21"/>
              </w:rPr>
              <w:t>全球城市研究(中英文)</w:t>
            </w:r>
          </w:p>
        </w:tc>
        <w:tc>
          <w:tcPr>
            <w:tcW w:w="1134" w:type="dxa"/>
          </w:tcPr>
          <w:p>
            <w:pPr>
              <w:ind w:firstLine="210" w:firstLineChars="100"/>
              <w:textAlignment w:val="center"/>
              <w:rPr>
                <w:sz w:val="21"/>
                <w:szCs w:val="21"/>
              </w:rPr>
            </w:pPr>
            <w:r>
              <w:rPr>
                <w:rFonts w:hint="eastAsia"/>
                <w:sz w:val="21"/>
                <w:szCs w:val="21"/>
              </w:rPr>
              <w:t>2023(</w:t>
            </w:r>
            <w:r>
              <w:rPr>
                <w:sz w:val="21"/>
                <w:szCs w:val="21"/>
              </w:rPr>
              <w:t>9</w:t>
            </w:r>
            <w:r>
              <w:rPr>
                <w:rFonts w:hint="eastAsia"/>
                <w:sz w:val="21"/>
                <w:szCs w:val="21"/>
              </w:rPr>
              <w:t>)</w:t>
            </w:r>
          </w:p>
        </w:tc>
        <w:tc>
          <w:tcPr>
            <w:tcW w:w="1134" w:type="dxa"/>
          </w:tcPr>
          <w:p>
            <w:pPr>
              <w:jc w:val="center"/>
              <w:textAlignment w:val="center"/>
              <w:rPr>
                <w:sz w:val="21"/>
                <w:szCs w:val="21"/>
              </w:rPr>
            </w:pPr>
            <w:r>
              <w:rPr>
                <w:rFonts w:hint="eastAsia"/>
                <w:sz w:val="21"/>
                <w:szCs w:val="21"/>
              </w:rPr>
              <w:t>秦迎林</w:t>
            </w:r>
          </w:p>
        </w:tc>
        <w:tc>
          <w:tcPr>
            <w:tcW w:w="709" w:type="dxa"/>
          </w:tcPr>
          <w:p>
            <w:pPr>
              <w:jc w:val="center"/>
              <w:textAlignment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8</w:t>
            </w:r>
          </w:p>
        </w:tc>
        <w:tc>
          <w:tcPr>
            <w:tcW w:w="3691" w:type="dxa"/>
          </w:tcPr>
          <w:p>
            <w:pPr>
              <w:rPr>
                <w:sz w:val="21"/>
                <w:szCs w:val="21"/>
              </w:rPr>
            </w:pPr>
            <w:r>
              <w:rPr>
                <w:rFonts w:hint="eastAsia"/>
                <w:sz w:val="21"/>
                <w:szCs w:val="21"/>
              </w:rPr>
              <w:t>"上海阅读市场研究报告—新趋势与新业态</w:t>
            </w:r>
          </w:p>
        </w:tc>
        <w:tc>
          <w:tcPr>
            <w:tcW w:w="1431" w:type="dxa"/>
            <w:vAlign w:val="center"/>
          </w:tcPr>
          <w:p>
            <w:pPr>
              <w:jc w:val="center"/>
              <w:textAlignment w:val="center"/>
              <w:rPr>
                <w:sz w:val="21"/>
                <w:szCs w:val="21"/>
              </w:rPr>
            </w:pPr>
            <w:r>
              <w:rPr>
                <w:rFonts w:hint="eastAsia"/>
                <w:sz w:val="21"/>
                <w:szCs w:val="21"/>
              </w:rPr>
              <w:t>上海文化产业发展报告</w:t>
            </w:r>
          </w:p>
        </w:tc>
        <w:tc>
          <w:tcPr>
            <w:tcW w:w="1134" w:type="dxa"/>
            <w:vAlign w:val="center"/>
          </w:tcPr>
          <w:p>
            <w:pPr>
              <w:jc w:val="center"/>
              <w:textAlignment w:val="center"/>
              <w:rPr>
                <w:sz w:val="21"/>
                <w:szCs w:val="21"/>
              </w:rPr>
            </w:pPr>
            <w:r>
              <w:rPr>
                <w:rFonts w:hint="eastAsia"/>
                <w:sz w:val="21"/>
                <w:szCs w:val="21"/>
              </w:rPr>
              <w:t>2023(3)</w:t>
            </w:r>
          </w:p>
        </w:tc>
        <w:tc>
          <w:tcPr>
            <w:tcW w:w="1134" w:type="dxa"/>
            <w:vAlign w:val="center"/>
          </w:tcPr>
          <w:p>
            <w:pPr>
              <w:jc w:val="center"/>
              <w:textAlignment w:val="center"/>
              <w:rPr>
                <w:sz w:val="21"/>
                <w:szCs w:val="21"/>
              </w:rPr>
            </w:pPr>
            <w:r>
              <w:rPr>
                <w:rFonts w:hint="eastAsia"/>
                <w:sz w:val="21"/>
                <w:szCs w:val="21"/>
              </w:rPr>
              <w:t>秦迎林</w:t>
            </w:r>
          </w:p>
        </w:tc>
        <w:tc>
          <w:tcPr>
            <w:tcW w:w="709" w:type="dxa"/>
            <w:vAlign w:val="center"/>
          </w:tcPr>
          <w:p>
            <w:pPr>
              <w:jc w:val="center"/>
              <w:textAlignment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9</w:t>
            </w:r>
          </w:p>
        </w:tc>
        <w:tc>
          <w:tcPr>
            <w:tcW w:w="3691" w:type="dxa"/>
          </w:tcPr>
          <w:p>
            <w:pPr>
              <w:rPr>
                <w:sz w:val="21"/>
                <w:szCs w:val="21"/>
              </w:rPr>
            </w:pPr>
            <w:r>
              <w:rPr>
                <w:rFonts w:hint="eastAsia"/>
                <w:sz w:val="21"/>
                <w:szCs w:val="21"/>
              </w:rPr>
              <w:t>"文化与数字花深度融合，助力新时代上海人民城市建设</w:t>
            </w:r>
          </w:p>
        </w:tc>
        <w:tc>
          <w:tcPr>
            <w:tcW w:w="1431" w:type="dxa"/>
            <w:vAlign w:val="center"/>
          </w:tcPr>
          <w:p>
            <w:pPr>
              <w:jc w:val="center"/>
              <w:textAlignment w:val="center"/>
              <w:rPr>
                <w:sz w:val="21"/>
                <w:szCs w:val="21"/>
              </w:rPr>
            </w:pPr>
            <w:r>
              <w:rPr>
                <w:rFonts w:hint="eastAsia"/>
                <w:sz w:val="21"/>
                <w:szCs w:val="21"/>
              </w:rPr>
              <w:t>上海文化发展报告</w:t>
            </w:r>
          </w:p>
        </w:tc>
        <w:tc>
          <w:tcPr>
            <w:tcW w:w="1134" w:type="dxa"/>
            <w:vAlign w:val="center"/>
          </w:tcPr>
          <w:p>
            <w:pPr>
              <w:jc w:val="center"/>
              <w:textAlignment w:val="center"/>
              <w:rPr>
                <w:sz w:val="21"/>
                <w:szCs w:val="21"/>
              </w:rPr>
            </w:pPr>
            <w:r>
              <w:rPr>
                <w:rFonts w:hint="eastAsia"/>
                <w:sz w:val="21"/>
                <w:szCs w:val="21"/>
              </w:rPr>
              <w:t>2023(3)</w:t>
            </w:r>
          </w:p>
        </w:tc>
        <w:tc>
          <w:tcPr>
            <w:tcW w:w="1134" w:type="dxa"/>
            <w:vAlign w:val="center"/>
          </w:tcPr>
          <w:p>
            <w:pPr>
              <w:jc w:val="center"/>
              <w:textAlignment w:val="center"/>
              <w:rPr>
                <w:sz w:val="21"/>
                <w:szCs w:val="21"/>
              </w:rPr>
            </w:pPr>
            <w:r>
              <w:rPr>
                <w:rFonts w:hint="eastAsia"/>
                <w:sz w:val="21"/>
                <w:szCs w:val="21"/>
              </w:rPr>
              <w:t>秦迎林</w:t>
            </w:r>
          </w:p>
        </w:tc>
        <w:tc>
          <w:tcPr>
            <w:tcW w:w="709" w:type="dxa"/>
            <w:vAlign w:val="center"/>
          </w:tcPr>
          <w:p>
            <w:pPr>
              <w:jc w:val="center"/>
              <w:textAlignment w:val="center"/>
              <w:rPr>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10</w:t>
            </w:r>
          </w:p>
        </w:tc>
        <w:tc>
          <w:tcPr>
            <w:tcW w:w="3691" w:type="dxa"/>
          </w:tcPr>
          <w:p>
            <w:pPr>
              <w:rPr>
                <w:sz w:val="21"/>
                <w:szCs w:val="21"/>
              </w:rPr>
            </w:pPr>
            <w:r>
              <w:rPr>
                <w:rFonts w:hint="eastAsia"/>
                <w:sz w:val="21"/>
                <w:szCs w:val="21"/>
              </w:rPr>
              <w:t>“工作——学习”理论的创新与发展——第四代“文化——历史”活动理论及应用价值</w:t>
            </w:r>
          </w:p>
        </w:tc>
        <w:tc>
          <w:tcPr>
            <w:tcW w:w="1431" w:type="dxa"/>
          </w:tcPr>
          <w:p>
            <w:pPr>
              <w:jc w:val="center"/>
              <w:textAlignment w:val="center"/>
              <w:rPr>
                <w:sz w:val="21"/>
                <w:szCs w:val="21"/>
              </w:rPr>
            </w:pPr>
            <w:r>
              <w:rPr>
                <w:rFonts w:hint="eastAsia"/>
                <w:sz w:val="21"/>
                <w:szCs w:val="21"/>
              </w:rPr>
              <w:t>远程教育杂志</w:t>
            </w:r>
          </w:p>
        </w:tc>
        <w:tc>
          <w:tcPr>
            <w:tcW w:w="1134" w:type="dxa"/>
          </w:tcPr>
          <w:p>
            <w:pPr>
              <w:jc w:val="center"/>
              <w:textAlignment w:val="center"/>
              <w:rPr>
                <w:sz w:val="21"/>
                <w:szCs w:val="21"/>
              </w:rPr>
            </w:pPr>
            <w:r>
              <w:rPr>
                <w:rFonts w:hint="eastAsia"/>
                <w:sz w:val="21"/>
                <w:szCs w:val="21"/>
              </w:rPr>
              <w:t>2022(3)</w:t>
            </w:r>
          </w:p>
        </w:tc>
        <w:tc>
          <w:tcPr>
            <w:tcW w:w="1134" w:type="dxa"/>
          </w:tcPr>
          <w:p>
            <w:pPr>
              <w:jc w:val="center"/>
              <w:textAlignment w:val="center"/>
              <w:rPr>
                <w:sz w:val="21"/>
                <w:szCs w:val="21"/>
              </w:rPr>
            </w:pPr>
            <w:r>
              <w:rPr>
                <w:rFonts w:hint="eastAsia"/>
                <w:sz w:val="21"/>
                <w:szCs w:val="21"/>
              </w:rPr>
              <w:t>吴刚</w:t>
            </w:r>
          </w:p>
        </w:tc>
        <w:tc>
          <w:tcPr>
            <w:tcW w:w="709" w:type="dxa"/>
          </w:tcPr>
          <w:p>
            <w:pPr>
              <w:jc w:val="center"/>
              <w:textAlignment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sz w:val="21"/>
                <w:szCs w:val="21"/>
              </w:rPr>
              <w:t>11</w:t>
            </w:r>
          </w:p>
        </w:tc>
        <w:tc>
          <w:tcPr>
            <w:tcW w:w="3691" w:type="dxa"/>
          </w:tcPr>
          <w:p>
            <w:pPr>
              <w:rPr>
                <w:sz w:val="21"/>
                <w:szCs w:val="21"/>
              </w:rPr>
            </w:pPr>
            <w:r>
              <w:rPr>
                <w:rFonts w:hint="eastAsia"/>
                <w:sz w:val="21"/>
                <w:szCs w:val="21"/>
              </w:rPr>
              <w:t>数智化在线交互教育范式视域下职业培训组织样态形塑研究</w:t>
            </w:r>
          </w:p>
        </w:tc>
        <w:tc>
          <w:tcPr>
            <w:tcW w:w="1431" w:type="dxa"/>
          </w:tcPr>
          <w:p>
            <w:pPr>
              <w:jc w:val="center"/>
              <w:textAlignment w:val="center"/>
              <w:rPr>
                <w:sz w:val="21"/>
                <w:szCs w:val="21"/>
              </w:rPr>
            </w:pPr>
            <w:r>
              <w:rPr>
                <w:rFonts w:hint="eastAsia"/>
                <w:sz w:val="21"/>
                <w:szCs w:val="21"/>
              </w:rPr>
              <w:t>高等工程教育研究</w:t>
            </w:r>
          </w:p>
        </w:tc>
        <w:tc>
          <w:tcPr>
            <w:tcW w:w="1134" w:type="dxa"/>
          </w:tcPr>
          <w:p>
            <w:pPr>
              <w:jc w:val="center"/>
              <w:textAlignment w:val="center"/>
              <w:rPr>
                <w:sz w:val="21"/>
                <w:szCs w:val="21"/>
              </w:rPr>
            </w:pPr>
            <w:r>
              <w:rPr>
                <w:rFonts w:hint="eastAsia"/>
                <w:sz w:val="21"/>
                <w:szCs w:val="21"/>
              </w:rPr>
              <w:t>2023(</w:t>
            </w:r>
            <w:r>
              <w:rPr>
                <w:sz w:val="21"/>
                <w:szCs w:val="21"/>
              </w:rPr>
              <w:t>7</w:t>
            </w:r>
            <w:r>
              <w:rPr>
                <w:rFonts w:hint="eastAsia"/>
                <w:sz w:val="21"/>
                <w:szCs w:val="21"/>
              </w:rPr>
              <w:t>)</w:t>
            </w:r>
          </w:p>
        </w:tc>
        <w:tc>
          <w:tcPr>
            <w:tcW w:w="1134" w:type="dxa"/>
          </w:tcPr>
          <w:p>
            <w:pPr>
              <w:jc w:val="center"/>
              <w:textAlignment w:val="center"/>
              <w:rPr>
                <w:sz w:val="21"/>
                <w:szCs w:val="21"/>
              </w:rPr>
            </w:pPr>
            <w:r>
              <w:rPr>
                <w:rFonts w:hint="eastAsia"/>
                <w:sz w:val="21"/>
                <w:szCs w:val="21"/>
              </w:rPr>
              <w:t>吴刚</w:t>
            </w:r>
          </w:p>
        </w:tc>
        <w:tc>
          <w:tcPr>
            <w:tcW w:w="709" w:type="dxa"/>
          </w:tcPr>
          <w:p>
            <w:pPr>
              <w:jc w:val="center"/>
              <w:textAlignment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12</w:t>
            </w:r>
          </w:p>
        </w:tc>
        <w:tc>
          <w:tcPr>
            <w:tcW w:w="3691" w:type="dxa"/>
          </w:tcPr>
          <w:p>
            <w:pPr>
              <w:rPr>
                <w:sz w:val="21"/>
                <w:szCs w:val="21"/>
              </w:rPr>
            </w:pPr>
            <w:r>
              <w:rPr>
                <w:rFonts w:hint="eastAsia"/>
                <w:sz w:val="21"/>
                <w:szCs w:val="21"/>
              </w:rPr>
              <w:t>“双重刺激法”的理论及应用模型研究</w:t>
            </w:r>
          </w:p>
        </w:tc>
        <w:tc>
          <w:tcPr>
            <w:tcW w:w="1431" w:type="dxa"/>
          </w:tcPr>
          <w:p>
            <w:pPr>
              <w:jc w:val="center"/>
              <w:textAlignment w:val="center"/>
              <w:rPr>
                <w:sz w:val="21"/>
                <w:szCs w:val="21"/>
              </w:rPr>
            </w:pPr>
            <w:r>
              <w:rPr>
                <w:rFonts w:hint="eastAsia"/>
                <w:sz w:val="21"/>
                <w:szCs w:val="21"/>
              </w:rPr>
              <w:t>心理学进展</w:t>
            </w:r>
          </w:p>
        </w:tc>
        <w:tc>
          <w:tcPr>
            <w:tcW w:w="1134" w:type="dxa"/>
          </w:tcPr>
          <w:p>
            <w:pPr>
              <w:jc w:val="center"/>
              <w:textAlignment w:val="center"/>
              <w:rPr>
                <w:sz w:val="21"/>
                <w:szCs w:val="21"/>
              </w:rPr>
            </w:pPr>
            <w:r>
              <w:rPr>
                <w:rFonts w:hint="eastAsia"/>
                <w:sz w:val="21"/>
                <w:szCs w:val="21"/>
              </w:rPr>
              <w:t>2023(</w:t>
            </w:r>
            <w:r>
              <w:rPr>
                <w:sz w:val="21"/>
                <w:szCs w:val="21"/>
              </w:rPr>
              <w:t>10</w:t>
            </w:r>
            <w:r>
              <w:rPr>
                <w:rFonts w:hint="eastAsia"/>
                <w:sz w:val="21"/>
                <w:szCs w:val="21"/>
              </w:rPr>
              <w:t>)</w:t>
            </w:r>
          </w:p>
        </w:tc>
        <w:tc>
          <w:tcPr>
            <w:tcW w:w="1134" w:type="dxa"/>
          </w:tcPr>
          <w:p>
            <w:pPr>
              <w:jc w:val="center"/>
              <w:textAlignment w:val="center"/>
              <w:rPr>
                <w:sz w:val="21"/>
                <w:szCs w:val="21"/>
              </w:rPr>
            </w:pPr>
            <w:r>
              <w:rPr>
                <w:rFonts w:hint="eastAsia"/>
                <w:sz w:val="21"/>
                <w:szCs w:val="21"/>
              </w:rPr>
              <w:t>吴刚</w:t>
            </w:r>
          </w:p>
        </w:tc>
        <w:tc>
          <w:tcPr>
            <w:tcW w:w="709" w:type="dxa"/>
          </w:tcPr>
          <w:p>
            <w:pPr>
              <w:jc w:val="center"/>
              <w:textAlignment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13</w:t>
            </w:r>
          </w:p>
        </w:tc>
        <w:tc>
          <w:tcPr>
            <w:tcW w:w="3691" w:type="dxa"/>
          </w:tcPr>
          <w:p>
            <w:pPr>
              <w:rPr>
                <w:sz w:val="21"/>
                <w:szCs w:val="21"/>
              </w:rPr>
            </w:pPr>
            <w:r>
              <w:rPr>
                <w:rFonts w:hint="eastAsia"/>
                <w:sz w:val="21"/>
                <w:szCs w:val="21"/>
              </w:rPr>
              <w:t>常态化疫情防控下跨境物流行业发展态势与对策</w:t>
            </w:r>
          </w:p>
        </w:tc>
        <w:tc>
          <w:tcPr>
            <w:tcW w:w="1431" w:type="dxa"/>
          </w:tcPr>
          <w:p>
            <w:pPr>
              <w:jc w:val="center"/>
              <w:textAlignment w:val="center"/>
              <w:rPr>
                <w:sz w:val="21"/>
                <w:szCs w:val="21"/>
              </w:rPr>
            </w:pPr>
            <w:r>
              <w:rPr>
                <w:rFonts w:hint="eastAsia"/>
                <w:sz w:val="21"/>
                <w:szCs w:val="21"/>
              </w:rPr>
              <w:t>物流科技</w:t>
            </w:r>
          </w:p>
        </w:tc>
        <w:tc>
          <w:tcPr>
            <w:tcW w:w="1134" w:type="dxa"/>
          </w:tcPr>
          <w:p>
            <w:pPr>
              <w:jc w:val="center"/>
              <w:textAlignment w:val="center"/>
              <w:rPr>
                <w:sz w:val="21"/>
                <w:szCs w:val="21"/>
              </w:rPr>
            </w:pPr>
            <w:r>
              <w:rPr>
                <w:sz w:val="21"/>
                <w:szCs w:val="21"/>
              </w:rPr>
              <w:t>2022</w:t>
            </w:r>
            <w:r>
              <w:rPr>
                <w:rFonts w:hint="eastAsia"/>
                <w:sz w:val="21"/>
                <w:szCs w:val="21"/>
              </w:rPr>
              <w:t>(</w:t>
            </w:r>
            <w:r>
              <w:rPr>
                <w:sz w:val="21"/>
                <w:szCs w:val="21"/>
              </w:rPr>
              <w:t>11</w:t>
            </w:r>
            <w:r>
              <w:rPr>
                <w:rFonts w:hint="eastAsia"/>
                <w:sz w:val="21"/>
                <w:szCs w:val="21"/>
              </w:rPr>
              <w:t>)</w:t>
            </w:r>
          </w:p>
        </w:tc>
        <w:tc>
          <w:tcPr>
            <w:tcW w:w="1134" w:type="dxa"/>
          </w:tcPr>
          <w:p>
            <w:pPr>
              <w:jc w:val="center"/>
              <w:textAlignment w:val="center"/>
              <w:rPr>
                <w:sz w:val="21"/>
                <w:szCs w:val="21"/>
              </w:rPr>
            </w:pPr>
            <w:r>
              <w:rPr>
                <w:rFonts w:hint="eastAsia"/>
                <w:sz w:val="21"/>
                <w:szCs w:val="21"/>
              </w:rPr>
              <w:t xml:space="preserve"> </w:t>
            </w:r>
            <w:r>
              <w:rPr>
                <w:sz w:val="21"/>
                <w:szCs w:val="21"/>
              </w:rPr>
              <w:t xml:space="preserve"> </w:t>
            </w:r>
            <w:r>
              <w:rPr>
                <w:rFonts w:hint="eastAsia"/>
                <w:sz w:val="21"/>
                <w:szCs w:val="21"/>
              </w:rPr>
              <w:t>邱羚</w:t>
            </w:r>
            <w:r>
              <w:rPr>
                <w:rFonts w:hint="eastAsia"/>
                <w:sz w:val="21"/>
                <w:szCs w:val="21"/>
              </w:rPr>
              <w:tab/>
            </w:r>
          </w:p>
          <w:p>
            <w:pPr>
              <w:tabs>
                <w:tab w:val="left" w:pos="888"/>
              </w:tabs>
              <w:rPr>
                <w:sz w:val="21"/>
                <w:szCs w:val="21"/>
              </w:rPr>
            </w:pPr>
          </w:p>
        </w:tc>
        <w:tc>
          <w:tcPr>
            <w:tcW w:w="709" w:type="dxa"/>
          </w:tcPr>
          <w:p>
            <w:pPr>
              <w:jc w:val="center"/>
              <w:textAlignment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14</w:t>
            </w:r>
          </w:p>
        </w:tc>
        <w:tc>
          <w:tcPr>
            <w:tcW w:w="3691" w:type="dxa"/>
          </w:tcPr>
          <w:p>
            <w:pPr>
              <w:rPr>
                <w:sz w:val="21"/>
                <w:szCs w:val="21"/>
              </w:rPr>
            </w:pPr>
            <w:r>
              <w:rPr>
                <w:rFonts w:hint="eastAsia"/>
                <w:sz w:val="21"/>
                <w:szCs w:val="21"/>
              </w:rPr>
              <w:t>高管激励视角下制造业企业组织冗余对企业绩效的影响作用研究</w:t>
            </w:r>
          </w:p>
        </w:tc>
        <w:tc>
          <w:tcPr>
            <w:tcW w:w="1431" w:type="dxa"/>
          </w:tcPr>
          <w:p>
            <w:pPr>
              <w:jc w:val="center"/>
              <w:textAlignment w:val="center"/>
              <w:rPr>
                <w:sz w:val="21"/>
                <w:szCs w:val="21"/>
              </w:rPr>
            </w:pPr>
            <w:r>
              <w:rPr>
                <w:rFonts w:hint="eastAsia"/>
                <w:sz w:val="21"/>
                <w:szCs w:val="21"/>
              </w:rPr>
              <w:t>应用数学进展</w:t>
            </w:r>
          </w:p>
        </w:tc>
        <w:tc>
          <w:tcPr>
            <w:tcW w:w="1134" w:type="dxa"/>
          </w:tcPr>
          <w:p>
            <w:pPr>
              <w:jc w:val="center"/>
              <w:textAlignment w:val="center"/>
              <w:rPr>
                <w:sz w:val="21"/>
                <w:szCs w:val="21"/>
              </w:rPr>
            </w:pPr>
            <w:r>
              <w:rPr>
                <w:rFonts w:hint="eastAsia"/>
                <w:sz w:val="21"/>
                <w:szCs w:val="21"/>
              </w:rPr>
              <w:t>2022(</w:t>
            </w:r>
            <w:r>
              <w:rPr>
                <w:sz w:val="21"/>
                <w:szCs w:val="21"/>
              </w:rPr>
              <w:t>11</w:t>
            </w:r>
            <w:r>
              <w:rPr>
                <w:rFonts w:hint="eastAsia"/>
                <w:sz w:val="21"/>
                <w:szCs w:val="21"/>
              </w:rPr>
              <w:t>)</w:t>
            </w:r>
          </w:p>
        </w:tc>
        <w:tc>
          <w:tcPr>
            <w:tcW w:w="1134" w:type="dxa"/>
          </w:tcPr>
          <w:p>
            <w:pPr>
              <w:jc w:val="center"/>
              <w:textAlignment w:val="center"/>
              <w:rPr>
                <w:sz w:val="21"/>
                <w:szCs w:val="21"/>
              </w:rPr>
            </w:pPr>
            <w:r>
              <w:rPr>
                <w:rFonts w:hint="eastAsia"/>
                <w:sz w:val="21"/>
                <w:szCs w:val="21"/>
              </w:rPr>
              <w:t>邱羚</w:t>
            </w:r>
          </w:p>
        </w:tc>
        <w:tc>
          <w:tcPr>
            <w:tcW w:w="709" w:type="dxa"/>
          </w:tcPr>
          <w:p>
            <w:pPr>
              <w:jc w:val="center"/>
              <w:textAlignment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15</w:t>
            </w:r>
          </w:p>
        </w:tc>
        <w:tc>
          <w:tcPr>
            <w:tcW w:w="3691" w:type="dxa"/>
          </w:tcPr>
          <w:p>
            <w:pPr>
              <w:rPr>
                <w:sz w:val="21"/>
                <w:szCs w:val="21"/>
              </w:rPr>
            </w:pPr>
            <w:r>
              <w:rPr>
                <w:rFonts w:hint="eastAsia"/>
                <w:sz w:val="21"/>
                <w:szCs w:val="21"/>
              </w:rPr>
              <w:t>中小企业利用情感因素改进留人工作的方法研究</w:t>
            </w:r>
          </w:p>
        </w:tc>
        <w:tc>
          <w:tcPr>
            <w:tcW w:w="1431" w:type="dxa"/>
          </w:tcPr>
          <w:p>
            <w:pPr>
              <w:jc w:val="center"/>
              <w:textAlignment w:val="center"/>
              <w:rPr>
                <w:sz w:val="21"/>
                <w:szCs w:val="21"/>
              </w:rPr>
            </w:pPr>
            <w:r>
              <w:rPr>
                <w:rFonts w:hint="eastAsia"/>
                <w:sz w:val="21"/>
                <w:szCs w:val="21"/>
              </w:rPr>
              <w:t>经济研究导刊</w:t>
            </w:r>
          </w:p>
        </w:tc>
        <w:tc>
          <w:tcPr>
            <w:tcW w:w="1134" w:type="dxa"/>
          </w:tcPr>
          <w:p>
            <w:pPr>
              <w:jc w:val="center"/>
              <w:textAlignment w:val="center"/>
              <w:rPr>
                <w:sz w:val="21"/>
                <w:szCs w:val="21"/>
              </w:rPr>
            </w:pPr>
            <w:r>
              <w:rPr>
                <w:rFonts w:hint="eastAsia"/>
                <w:sz w:val="21"/>
                <w:szCs w:val="21"/>
              </w:rPr>
              <w:t>2022(</w:t>
            </w:r>
            <w:r>
              <w:rPr>
                <w:sz w:val="21"/>
                <w:szCs w:val="21"/>
              </w:rPr>
              <w:t>12</w:t>
            </w:r>
            <w:r>
              <w:rPr>
                <w:rFonts w:hint="eastAsia"/>
                <w:sz w:val="21"/>
                <w:szCs w:val="21"/>
              </w:rPr>
              <w:t>)</w:t>
            </w:r>
          </w:p>
        </w:tc>
        <w:tc>
          <w:tcPr>
            <w:tcW w:w="1134" w:type="dxa"/>
          </w:tcPr>
          <w:p>
            <w:pPr>
              <w:jc w:val="center"/>
              <w:textAlignment w:val="center"/>
              <w:rPr>
                <w:sz w:val="21"/>
                <w:szCs w:val="21"/>
              </w:rPr>
            </w:pPr>
            <w:r>
              <w:rPr>
                <w:rFonts w:hint="eastAsia"/>
                <w:sz w:val="21"/>
                <w:szCs w:val="21"/>
              </w:rPr>
              <w:t>邱羚</w:t>
            </w:r>
          </w:p>
        </w:tc>
        <w:tc>
          <w:tcPr>
            <w:tcW w:w="709" w:type="dxa"/>
          </w:tcPr>
          <w:p>
            <w:pPr>
              <w:jc w:val="center"/>
              <w:textAlignment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16</w:t>
            </w:r>
          </w:p>
        </w:tc>
        <w:tc>
          <w:tcPr>
            <w:tcW w:w="3691" w:type="dxa"/>
          </w:tcPr>
          <w:p>
            <w:pPr>
              <w:rPr>
                <w:sz w:val="21"/>
                <w:szCs w:val="21"/>
              </w:rPr>
            </w:pPr>
            <w:r>
              <w:rPr>
                <w:rFonts w:hint="eastAsia"/>
                <w:sz w:val="21"/>
                <w:szCs w:val="21"/>
              </w:rPr>
              <w:t>Thoughts on Collaborative Development of China's Cruise,Yacht and Ship Industries</w:t>
            </w:r>
          </w:p>
        </w:tc>
        <w:tc>
          <w:tcPr>
            <w:tcW w:w="1431" w:type="dxa"/>
          </w:tcPr>
          <w:p>
            <w:pPr>
              <w:jc w:val="center"/>
              <w:textAlignment w:val="center"/>
              <w:rPr>
                <w:sz w:val="21"/>
                <w:szCs w:val="21"/>
              </w:rPr>
            </w:pPr>
            <w:r>
              <w:rPr>
                <w:rFonts w:hint="eastAsia"/>
                <w:sz w:val="21"/>
                <w:szCs w:val="21"/>
              </w:rPr>
              <w:t>Cruise Industry Review</w:t>
            </w:r>
          </w:p>
        </w:tc>
        <w:tc>
          <w:tcPr>
            <w:tcW w:w="1134" w:type="dxa"/>
          </w:tcPr>
          <w:p>
            <w:pPr>
              <w:jc w:val="center"/>
              <w:textAlignment w:val="center"/>
              <w:rPr>
                <w:sz w:val="21"/>
                <w:szCs w:val="21"/>
              </w:rPr>
            </w:pPr>
            <w:r>
              <w:rPr>
                <w:rFonts w:hint="eastAsia"/>
                <w:sz w:val="21"/>
                <w:szCs w:val="21"/>
              </w:rPr>
              <w:t>2023(</w:t>
            </w:r>
            <w:r>
              <w:rPr>
                <w:sz w:val="21"/>
                <w:szCs w:val="21"/>
              </w:rPr>
              <w:t>7</w:t>
            </w:r>
            <w:r>
              <w:rPr>
                <w:rFonts w:hint="eastAsia"/>
                <w:sz w:val="21"/>
                <w:szCs w:val="21"/>
              </w:rPr>
              <w:t>)</w:t>
            </w:r>
          </w:p>
        </w:tc>
        <w:tc>
          <w:tcPr>
            <w:tcW w:w="1134" w:type="dxa"/>
          </w:tcPr>
          <w:p>
            <w:pPr>
              <w:jc w:val="center"/>
              <w:textAlignment w:val="center"/>
              <w:rPr>
                <w:sz w:val="21"/>
                <w:szCs w:val="21"/>
              </w:rPr>
            </w:pPr>
            <w:r>
              <w:rPr>
                <w:rFonts w:hint="eastAsia"/>
                <w:sz w:val="21"/>
                <w:szCs w:val="21"/>
              </w:rPr>
              <w:t>邱羚</w:t>
            </w:r>
          </w:p>
        </w:tc>
        <w:tc>
          <w:tcPr>
            <w:tcW w:w="709" w:type="dxa"/>
          </w:tcPr>
          <w:p>
            <w:pPr>
              <w:jc w:val="center"/>
              <w:textAlignment w:val="center"/>
              <w:rPr>
                <w:sz w:val="21"/>
                <w:szCs w:val="21"/>
              </w:rPr>
            </w:pPr>
            <w:r>
              <w:rPr>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17</w:t>
            </w:r>
          </w:p>
        </w:tc>
        <w:tc>
          <w:tcPr>
            <w:tcW w:w="3691" w:type="dxa"/>
          </w:tcPr>
          <w:p>
            <w:pPr>
              <w:rPr>
                <w:sz w:val="21"/>
                <w:szCs w:val="21"/>
              </w:rPr>
            </w:pPr>
            <w:r>
              <w:rPr>
                <w:rFonts w:hint="eastAsia"/>
                <w:sz w:val="21"/>
                <w:szCs w:val="21"/>
              </w:rPr>
              <w:t>基于特征价格模型的邮轮特征对于邮轮产品价格影响研究综述</w:t>
            </w:r>
          </w:p>
        </w:tc>
        <w:tc>
          <w:tcPr>
            <w:tcW w:w="1431" w:type="dxa"/>
          </w:tcPr>
          <w:p>
            <w:pPr>
              <w:jc w:val="center"/>
              <w:textAlignment w:val="center"/>
              <w:rPr>
                <w:sz w:val="21"/>
                <w:szCs w:val="21"/>
              </w:rPr>
            </w:pPr>
            <w:r>
              <w:rPr>
                <w:rFonts w:hint="eastAsia"/>
                <w:sz w:val="21"/>
                <w:szCs w:val="21"/>
              </w:rPr>
              <w:t>运筹与模糊学</w:t>
            </w:r>
          </w:p>
        </w:tc>
        <w:tc>
          <w:tcPr>
            <w:tcW w:w="1134" w:type="dxa"/>
          </w:tcPr>
          <w:p>
            <w:pPr>
              <w:jc w:val="center"/>
              <w:textAlignment w:val="center"/>
              <w:rPr>
                <w:sz w:val="21"/>
                <w:szCs w:val="21"/>
              </w:rPr>
            </w:pPr>
            <w:r>
              <w:rPr>
                <w:rFonts w:hint="eastAsia"/>
                <w:sz w:val="21"/>
                <w:szCs w:val="21"/>
              </w:rPr>
              <w:t>2023(</w:t>
            </w:r>
            <w:r>
              <w:rPr>
                <w:sz w:val="21"/>
                <w:szCs w:val="21"/>
              </w:rPr>
              <w:t>8</w:t>
            </w:r>
            <w:r>
              <w:rPr>
                <w:rFonts w:hint="eastAsia"/>
                <w:sz w:val="21"/>
                <w:szCs w:val="21"/>
              </w:rPr>
              <w:t>)</w:t>
            </w:r>
          </w:p>
        </w:tc>
        <w:tc>
          <w:tcPr>
            <w:tcW w:w="1134" w:type="dxa"/>
          </w:tcPr>
          <w:p>
            <w:pPr>
              <w:jc w:val="center"/>
              <w:textAlignment w:val="center"/>
              <w:rPr>
                <w:sz w:val="21"/>
                <w:szCs w:val="21"/>
              </w:rPr>
            </w:pPr>
            <w:r>
              <w:rPr>
                <w:rFonts w:hint="eastAsia"/>
                <w:sz w:val="21"/>
                <w:szCs w:val="21"/>
              </w:rPr>
              <w:t>邱羚</w:t>
            </w:r>
          </w:p>
        </w:tc>
        <w:tc>
          <w:tcPr>
            <w:tcW w:w="709" w:type="dxa"/>
          </w:tcPr>
          <w:p>
            <w:pPr>
              <w:jc w:val="center"/>
              <w:textAlignment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18</w:t>
            </w:r>
          </w:p>
        </w:tc>
        <w:tc>
          <w:tcPr>
            <w:tcW w:w="3691" w:type="dxa"/>
          </w:tcPr>
          <w:p>
            <w:pPr>
              <w:rPr>
                <w:sz w:val="21"/>
                <w:szCs w:val="21"/>
              </w:rPr>
            </w:pPr>
            <w:r>
              <w:rPr>
                <w:rFonts w:hint="eastAsia"/>
                <w:sz w:val="21"/>
                <w:szCs w:val="21"/>
              </w:rPr>
              <w:t>绿色信贷政策对重污染企业绿色创新的影响研究</w:t>
            </w:r>
          </w:p>
        </w:tc>
        <w:tc>
          <w:tcPr>
            <w:tcW w:w="1431" w:type="dxa"/>
          </w:tcPr>
          <w:p>
            <w:pPr>
              <w:jc w:val="center"/>
              <w:textAlignment w:val="center"/>
              <w:rPr>
                <w:sz w:val="21"/>
                <w:szCs w:val="21"/>
              </w:rPr>
            </w:pPr>
            <w:r>
              <w:rPr>
                <w:rFonts w:hint="eastAsia"/>
                <w:sz w:val="21"/>
                <w:szCs w:val="21"/>
              </w:rPr>
              <w:t>运筹与模糊学</w:t>
            </w:r>
          </w:p>
        </w:tc>
        <w:tc>
          <w:tcPr>
            <w:tcW w:w="1134" w:type="dxa"/>
          </w:tcPr>
          <w:p>
            <w:pPr>
              <w:jc w:val="center"/>
              <w:textAlignment w:val="center"/>
              <w:rPr>
                <w:sz w:val="21"/>
                <w:szCs w:val="21"/>
              </w:rPr>
            </w:pPr>
            <w:r>
              <w:rPr>
                <w:rFonts w:hint="eastAsia"/>
                <w:sz w:val="21"/>
                <w:szCs w:val="21"/>
              </w:rPr>
              <w:t>2023(</w:t>
            </w:r>
            <w:r>
              <w:rPr>
                <w:sz w:val="21"/>
                <w:szCs w:val="21"/>
              </w:rPr>
              <w:t>8</w:t>
            </w:r>
            <w:r>
              <w:rPr>
                <w:rFonts w:hint="eastAsia"/>
                <w:sz w:val="21"/>
                <w:szCs w:val="21"/>
              </w:rPr>
              <w:t>)</w:t>
            </w:r>
          </w:p>
        </w:tc>
        <w:tc>
          <w:tcPr>
            <w:tcW w:w="1134" w:type="dxa"/>
          </w:tcPr>
          <w:p>
            <w:pPr>
              <w:jc w:val="center"/>
              <w:textAlignment w:val="center"/>
              <w:rPr>
                <w:sz w:val="21"/>
                <w:szCs w:val="21"/>
              </w:rPr>
            </w:pPr>
            <w:r>
              <w:rPr>
                <w:rFonts w:hint="eastAsia"/>
                <w:sz w:val="21"/>
                <w:szCs w:val="21"/>
              </w:rPr>
              <w:t>邱羚</w:t>
            </w:r>
          </w:p>
        </w:tc>
        <w:tc>
          <w:tcPr>
            <w:tcW w:w="709" w:type="dxa"/>
          </w:tcPr>
          <w:p>
            <w:pPr>
              <w:jc w:val="center"/>
              <w:textAlignment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19</w:t>
            </w:r>
          </w:p>
        </w:tc>
        <w:tc>
          <w:tcPr>
            <w:tcW w:w="3691" w:type="dxa"/>
          </w:tcPr>
          <w:p>
            <w:pPr>
              <w:rPr>
                <w:sz w:val="21"/>
                <w:szCs w:val="21"/>
              </w:rPr>
            </w:pPr>
            <w:r>
              <w:rPr>
                <w:rFonts w:hint="eastAsia"/>
                <w:sz w:val="21"/>
                <w:szCs w:val="21"/>
              </w:rPr>
              <w:t>上海邮轮经济全产业链协同发展研究</w:t>
            </w:r>
          </w:p>
        </w:tc>
        <w:tc>
          <w:tcPr>
            <w:tcW w:w="1431" w:type="dxa"/>
          </w:tcPr>
          <w:p>
            <w:pPr>
              <w:jc w:val="center"/>
              <w:textAlignment w:val="center"/>
              <w:rPr>
                <w:sz w:val="21"/>
                <w:szCs w:val="21"/>
              </w:rPr>
            </w:pPr>
            <w:r>
              <w:rPr>
                <w:rFonts w:hint="eastAsia"/>
                <w:sz w:val="21"/>
                <w:szCs w:val="21"/>
              </w:rPr>
              <w:t>中国邮轮产业发展报告（2022）</w:t>
            </w:r>
          </w:p>
        </w:tc>
        <w:tc>
          <w:tcPr>
            <w:tcW w:w="1134" w:type="dxa"/>
          </w:tcPr>
          <w:p>
            <w:pPr>
              <w:jc w:val="center"/>
              <w:textAlignment w:val="center"/>
              <w:rPr>
                <w:sz w:val="21"/>
                <w:szCs w:val="21"/>
              </w:rPr>
            </w:pPr>
            <w:r>
              <w:rPr>
                <w:rFonts w:hint="eastAsia"/>
                <w:sz w:val="21"/>
                <w:szCs w:val="21"/>
              </w:rPr>
              <w:t>2022(</w:t>
            </w:r>
            <w:r>
              <w:rPr>
                <w:sz w:val="21"/>
                <w:szCs w:val="21"/>
              </w:rPr>
              <w:t>11</w:t>
            </w:r>
            <w:r>
              <w:rPr>
                <w:rFonts w:hint="eastAsia"/>
                <w:sz w:val="21"/>
                <w:szCs w:val="21"/>
              </w:rPr>
              <w:t xml:space="preserve">) </w:t>
            </w:r>
          </w:p>
        </w:tc>
        <w:tc>
          <w:tcPr>
            <w:tcW w:w="1134" w:type="dxa"/>
          </w:tcPr>
          <w:p>
            <w:pPr>
              <w:jc w:val="center"/>
              <w:textAlignment w:val="center"/>
              <w:rPr>
                <w:sz w:val="21"/>
                <w:szCs w:val="21"/>
              </w:rPr>
            </w:pPr>
            <w:r>
              <w:rPr>
                <w:rFonts w:hint="eastAsia"/>
                <w:sz w:val="21"/>
                <w:szCs w:val="21"/>
              </w:rPr>
              <w:t>邱羚</w:t>
            </w:r>
          </w:p>
        </w:tc>
        <w:tc>
          <w:tcPr>
            <w:tcW w:w="709" w:type="dxa"/>
          </w:tcPr>
          <w:p>
            <w:pPr>
              <w:jc w:val="center"/>
              <w:textAlignment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2" w:hRule="atLeast"/>
          <w:jc w:val="center"/>
        </w:trPr>
        <w:tc>
          <w:tcPr>
            <w:tcW w:w="856" w:type="dxa"/>
            <w:vAlign w:val="center"/>
          </w:tcPr>
          <w:p>
            <w:pPr>
              <w:jc w:val="center"/>
              <w:textAlignment w:val="center"/>
              <w:rPr>
                <w:color w:val="000000"/>
                <w:sz w:val="21"/>
                <w:szCs w:val="21"/>
                <w:lang w:bidi="ar"/>
              </w:rPr>
            </w:pPr>
            <w:r>
              <w:rPr>
                <w:color w:val="000000"/>
                <w:sz w:val="21"/>
                <w:szCs w:val="21"/>
                <w:lang w:bidi="ar"/>
              </w:rPr>
              <w:t>20</w:t>
            </w:r>
          </w:p>
        </w:tc>
        <w:tc>
          <w:tcPr>
            <w:tcW w:w="3691" w:type="dxa"/>
          </w:tcPr>
          <w:p>
            <w:pPr>
              <w:rPr>
                <w:sz w:val="21"/>
                <w:szCs w:val="21"/>
              </w:rPr>
            </w:pPr>
            <w:r>
              <w:rPr>
                <w:rFonts w:hint="eastAsia"/>
                <w:sz w:val="21"/>
                <w:szCs w:val="21"/>
              </w:rPr>
              <w:t>基于特征价格模型的邮轮特征对于邮轮产品价格影响研究综述</w:t>
            </w:r>
          </w:p>
        </w:tc>
        <w:tc>
          <w:tcPr>
            <w:tcW w:w="1431" w:type="dxa"/>
          </w:tcPr>
          <w:p>
            <w:pPr>
              <w:jc w:val="center"/>
              <w:textAlignment w:val="center"/>
              <w:rPr>
                <w:sz w:val="21"/>
                <w:szCs w:val="21"/>
              </w:rPr>
            </w:pPr>
            <w:r>
              <w:rPr>
                <w:rFonts w:hint="eastAsia"/>
                <w:sz w:val="21"/>
                <w:szCs w:val="21"/>
              </w:rPr>
              <w:t>运筹与模糊学</w:t>
            </w:r>
          </w:p>
        </w:tc>
        <w:tc>
          <w:tcPr>
            <w:tcW w:w="1134" w:type="dxa"/>
          </w:tcPr>
          <w:p>
            <w:pPr>
              <w:jc w:val="center"/>
              <w:textAlignment w:val="center"/>
              <w:rPr>
                <w:sz w:val="21"/>
                <w:szCs w:val="21"/>
              </w:rPr>
            </w:pPr>
            <w:r>
              <w:rPr>
                <w:rFonts w:hint="eastAsia"/>
                <w:sz w:val="21"/>
                <w:szCs w:val="21"/>
              </w:rPr>
              <w:t>2023(</w:t>
            </w:r>
            <w:r>
              <w:rPr>
                <w:sz w:val="21"/>
                <w:szCs w:val="21"/>
              </w:rPr>
              <w:t>8</w:t>
            </w:r>
            <w:r>
              <w:rPr>
                <w:rFonts w:hint="eastAsia"/>
                <w:sz w:val="21"/>
                <w:szCs w:val="21"/>
              </w:rPr>
              <w:t>)</w:t>
            </w:r>
          </w:p>
        </w:tc>
        <w:tc>
          <w:tcPr>
            <w:tcW w:w="1134" w:type="dxa"/>
          </w:tcPr>
          <w:p>
            <w:pPr>
              <w:jc w:val="center"/>
              <w:textAlignment w:val="center"/>
              <w:rPr>
                <w:sz w:val="21"/>
                <w:szCs w:val="21"/>
              </w:rPr>
            </w:pPr>
            <w:r>
              <w:rPr>
                <w:rFonts w:hint="eastAsia"/>
                <w:sz w:val="21"/>
                <w:szCs w:val="21"/>
              </w:rPr>
              <w:t>邱羚</w:t>
            </w:r>
          </w:p>
        </w:tc>
        <w:tc>
          <w:tcPr>
            <w:tcW w:w="709" w:type="dxa"/>
          </w:tcPr>
          <w:p>
            <w:pPr>
              <w:jc w:val="center"/>
              <w:textAlignment w:val="center"/>
              <w:rPr>
                <w:sz w:val="21"/>
                <w:szCs w:val="21"/>
              </w:rPr>
            </w:pPr>
            <w:r>
              <w:rPr>
                <w:rFonts w:hint="eastAsia"/>
                <w:sz w:val="21"/>
                <w:szCs w:val="21"/>
              </w:rPr>
              <w:t>2</w:t>
            </w:r>
          </w:p>
        </w:tc>
      </w:tr>
      <w:bookmarkEnd w:id="69"/>
    </w:tbl>
    <w:p>
      <w:pPr>
        <w:pStyle w:val="3"/>
        <w:adjustRightInd w:val="0"/>
        <w:snapToGrid w:val="0"/>
        <w:spacing w:before="0" w:after="0" w:line="360" w:lineRule="auto"/>
        <w:jc w:val="left"/>
        <w:rPr>
          <w:rFonts w:ascii="宋体" w:hAnsi="宋体"/>
          <w:sz w:val="28"/>
          <w:szCs w:val="28"/>
        </w:rPr>
      </w:pPr>
      <w:r>
        <w:rPr>
          <w:rFonts w:ascii="宋体" w:hAnsi="宋体"/>
          <w:sz w:val="28"/>
          <w:szCs w:val="28"/>
        </w:rPr>
        <w:t>5.支持条件</w:t>
      </w:r>
      <w:bookmarkEnd w:id="68"/>
      <w:r>
        <w:rPr>
          <w:rFonts w:ascii="宋体" w:hAnsi="宋体"/>
          <w:sz w:val="28"/>
          <w:szCs w:val="28"/>
        </w:rPr>
        <w:t xml:space="preserve"> </w:t>
      </w:r>
    </w:p>
    <w:p>
      <w:pPr>
        <w:pStyle w:val="4"/>
        <w:adjustRightInd w:val="0"/>
        <w:snapToGrid w:val="0"/>
        <w:spacing w:before="0" w:after="0" w:line="360" w:lineRule="auto"/>
        <w:rPr>
          <w:rFonts w:ascii="宋体" w:hAnsi="宋体" w:eastAsia="宋体" w:cs="Times New Roman"/>
          <w:sz w:val="24"/>
          <w:szCs w:val="24"/>
        </w:rPr>
      </w:pPr>
      <w:bookmarkStart w:id="71" w:name="_Toc160210538"/>
      <w:r>
        <w:rPr>
          <w:rFonts w:ascii="宋体" w:hAnsi="宋体" w:eastAsia="宋体" w:cs="Times New Roman"/>
          <w:sz w:val="24"/>
          <w:szCs w:val="24"/>
        </w:rPr>
        <w:t>5.1学校生均教学经费情况</w:t>
      </w:r>
      <w:bookmarkEnd w:id="71"/>
    </w:p>
    <w:p>
      <w:pPr>
        <w:widowControl w:val="0"/>
        <w:adjustRightInd w:val="0"/>
        <w:snapToGrid w:val="0"/>
        <w:spacing w:line="360" w:lineRule="auto"/>
        <w:ind w:firstLine="480" w:firstLineChars="200"/>
        <w:rPr>
          <w:rFonts w:cstheme="minorBidi"/>
          <w:kern w:val="2"/>
        </w:rPr>
      </w:pPr>
      <w:r>
        <w:rPr>
          <w:rFonts w:hint="eastAsia" w:cs="Times New Roman"/>
          <w:color w:val="000000" w:themeColor="text1"/>
          <w14:textFill>
            <w14:solidFill>
              <w14:schemeClr w14:val="tx1"/>
            </w14:solidFill>
          </w14:textFill>
        </w:rPr>
        <w:t>学校每年保证学生的教学经费按时到位，用于教学日常运行，同时，对于实践环节，划拨专项费用，用以支持学生实验和实习等。针对学校划拨的教学经费，本专业严格遵守教育部的相关要求</w:t>
      </w:r>
      <w:r>
        <w:rPr>
          <w:rFonts w:cs="Times New Roman"/>
          <w:color w:val="000000" w:themeColor="text1"/>
          <w14:textFill>
            <w14:solidFill>
              <w14:schemeClr w14:val="tx1"/>
            </w14:solidFill>
          </w14:textFill>
        </w:rPr>
        <w:t>保证专款专用。</w:t>
      </w:r>
      <w:r>
        <w:rPr>
          <w:rFonts w:cstheme="minorBidi"/>
          <w:kern w:val="2"/>
        </w:rPr>
        <w:t>本专业</w:t>
      </w:r>
      <w:r>
        <w:rPr>
          <w:rFonts w:hint="eastAsia" w:cstheme="minorBidi"/>
          <w:kern w:val="2"/>
        </w:rPr>
        <w:t>生均教学日常经费</w:t>
      </w:r>
      <w:r>
        <w:rPr>
          <w:rFonts w:cstheme="minorBidi"/>
          <w:kern w:val="2"/>
        </w:rPr>
        <w:t>为506</w:t>
      </w:r>
      <w:r>
        <w:rPr>
          <w:rFonts w:hint="eastAsia" w:cstheme="minorBidi"/>
          <w:kern w:val="2"/>
        </w:rPr>
        <w:t>8.5</w:t>
      </w:r>
      <w:r>
        <w:rPr>
          <w:rFonts w:cstheme="minorBidi"/>
          <w:kern w:val="2"/>
        </w:rPr>
        <w:t>元，生均实验经费约为101</w:t>
      </w:r>
      <w:r>
        <w:rPr>
          <w:rFonts w:hint="eastAsia" w:cstheme="minorBidi"/>
          <w:kern w:val="2"/>
        </w:rPr>
        <w:t>7.74</w:t>
      </w:r>
      <w:r>
        <w:rPr>
          <w:rFonts w:cstheme="minorBidi"/>
          <w:kern w:val="2"/>
        </w:rPr>
        <w:t>元，生均实习经费约为41</w:t>
      </w:r>
      <w:r>
        <w:rPr>
          <w:rFonts w:hint="eastAsia" w:cstheme="minorBidi"/>
          <w:kern w:val="2"/>
        </w:rPr>
        <w:t>0.89</w:t>
      </w:r>
      <w:r>
        <w:rPr>
          <w:rFonts w:cstheme="minorBidi"/>
          <w:kern w:val="2"/>
        </w:rPr>
        <w:t>元，完全</w:t>
      </w:r>
      <w:r>
        <w:rPr>
          <w:rFonts w:hint="eastAsia" w:cstheme="minorBidi"/>
          <w:kern w:val="2"/>
        </w:rPr>
        <w:t>能够</w:t>
      </w:r>
      <w:r>
        <w:rPr>
          <w:rFonts w:cstheme="minorBidi"/>
          <w:kern w:val="2"/>
        </w:rPr>
        <w:t>满足教学需求。</w:t>
      </w:r>
    </w:p>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表1</w:t>
      </w:r>
      <w:r>
        <w:rPr>
          <w:rFonts w:hint="eastAsia" w:ascii="Times New Roman" w:hAnsi="Times New Roman" w:eastAsia="仿宋" w:cs="Times New Roman"/>
          <w:color w:val="000000" w:themeColor="text1"/>
          <w:lang w:val="en-US" w:eastAsia="zh-CN"/>
          <w14:textFill>
            <w14:solidFill>
              <w14:schemeClr w14:val="tx1"/>
            </w14:solidFill>
          </w14:textFill>
        </w:rPr>
        <w:t>9</w:t>
      </w:r>
      <w:r>
        <w:rPr>
          <w:rFonts w:ascii="Times New Roman" w:hAnsi="Times New Roman" w:eastAsia="仿宋" w:cs="Times New Roman"/>
          <w:color w:val="000000" w:themeColor="text1"/>
          <w14:textFill>
            <w14:solidFill>
              <w14:schemeClr w14:val="tx1"/>
            </w14:solidFill>
          </w14:textFill>
        </w:rPr>
        <w:t xml:space="preserve"> 学校生均教学经费情况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项目</w:t>
            </w:r>
          </w:p>
        </w:tc>
        <w:tc>
          <w:tcPr>
            <w:tcW w:w="4731" w:type="dxa"/>
            <w:vAlign w:val="center"/>
          </w:tcPr>
          <w:p>
            <w:pPr>
              <w:jc w:val="center"/>
              <w:rPr>
                <w:sz w:val="21"/>
                <w:szCs w:val="21"/>
              </w:rPr>
            </w:pPr>
            <w:r>
              <w:rPr>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生均教学日常运行支出</w:t>
            </w:r>
          </w:p>
        </w:tc>
        <w:tc>
          <w:tcPr>
            <w:tcW w:w="4731" w:type="dxa"/>
            <w:vAlign w:val="center"/>
          </w:tcPr>
          <w:p>
            <w:pPr>
              <w:jc w:val="center"/>
              <w:rPr>
                <w:sz w:val="21"/>
                <w:szCs w:val="21"/>
              </w:rPr>
            </w:pPr>
            <w:bookmarkStart w:id="72" w:name="_Hlk160199100"/>
            <w:r>
              <w:rPr>
                <w:sz w:val="21"/>
                <w:szCs w:val="21"/>
              </w:rPr>
              <w:t>5068.5</w:t>
            </w:r>
            <w:bookmarkEnd w:id="72"/>
            <w:bookmarkStart w:id="73" w:name="OLE_LINK47"/>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生均实验经费支出</w:t>
            </w:r>
          </w:p>
        </w:tc>
        <w:tc>
          <w:tcPr>
            <w:tcW w:w="4731" w:type="dxa"/>
            <w:vAlign w:val="center"/>
          </w:tcPr>
          <w:p>
            <w:pPr>
              <w:jc w:val="center"/>
              <w:rPr>
                <w:sz w:val="21"/>
                <w:szCs w:val="21"/>
              </w:rPr>
            </w:pPr>
            <w:r>
              <w:rPr>
                <w:sz w:val="21"/>
                <w:szCs w:val="21"/>
              </w:rPr>
              <w:t>1017.74</w:t>
            </w:r>
            <w:bookmarkStart w:id="74" w:name="OLE_LINK48"/>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生均实习经费支出</w:t>
            </w:r>
          </w:p>
        </w:tc>
        <w:tc>
          <w:tcPr>
            <w:tcW w:w="4731" w:type="dxa"/>
            <w:vAlign w:val="center"/>
          </w:tcPr>
          <w:p>
            <w:pPr>
              <w:jc w:val="center"/>
              <w:rPr>
                <w:sz w:val="21"/>
                <w:szCs w:val="21"/>
              </w:rPr>
            </w:pPr>
            <w:r>
              <w:rPr>
                <w:sz w:val="21"/>
                <w:szCs w:val="21"/>
              </w:rPr>
              <w:t>410.89</w:t>
            </w:r>
          </w:p>
        </w:tc>
      </w:tr>
    </w:tbl>
    <w:p>
      <w:pPr>
        <w:pStyle w:val="4"/>
        <w:adjustRightInd w:val="0"/>
        <w:snapToGrid w:val="0"/>
        <w:spacing w:before="0" w:after="0" w:line="360" w:lineRule="auto"/>
        <w:rPr>
          <w:rFonts w:ascii="宋体" w:hAnsi="宋体" w:eastAsia="宋体" w:cs="Times New Roman"/>
          <w:sz w:val="24"/>
          <w:szCs w:val="24"/>
        </w:rPr>
      </w:pPr>
      <w:bookmarkStart w:id="75" w:name="_Toc160210539"/>
      <w:r>
        <w:rPr>
          <w:rFonts w:ascii="宋体" w:hAnsi="宋体" w:eastAsia="宋体" w:cs="Times New Roman"/>
          <w:sz w:val="24"/>
          <w:szCs w:val="24"/>
        </w:rPr>
        <w:t>5.2支撑专业实验教学校内场所情况</w:t>
      </w:r>
      <w:bookmarkEnd w:id="75"/>
    </w:p>
    <w:p>
      <w:pPr>
        <w:shd w:val="clear" w:color="auto" w:fill="FFFFFF"/>
        <w:adjustRightInd w:val="0"/>
        <w:snapToGrid w:val="0"/>
        <w:spacing w:line="360" w:lineRule="auto"/>
        <w:ind w:firstLine="480" w:firstLineChars="200"/>
      </w:pPr>
      <w:r>
        <w:t>目前学院共有实验室10个，其中与人力资源管理专业相关主要实验室2个，另有信息集成演示沙盘1个。实验开出率100%。目前，专业所有主干课程均设置了相应6-24课时的实验、实践课程，企业经营管理实验室对全院3000余名生开放，另有人力资源专业特有的北森人员测评实验室供人员测评软件模拟应用与分析实践课专用</w:t>
      </w:r>
      <w:r>
        <w:rPr>
          <w:rFonts w:hint="eastAsia"/>
        </w:rPr>
        <w:t>。</w:t>
      </w:r>
      <w:r>
        <w:t>目前本专业在校内外有三个稳定的实习基地。校外已和上海移远通讯技术股份有限公司、上海理升财务管理咨询公司、上海晨讯科技集团等单位签约建立产学研合作战略联盟关系，确保学生专业实践与实习的需要。</w:t>
      </w:r>
    </w:p>
    <w:p>
      <w:pPr>
        <w:pStyle w:val="4"/>
        <w:adjustRightInd w:val="0"/>
        <w:snapToGrid w:val="0"/>
        <w:spacing w:before="0" w:after="0" w:line="360" w:lineRule="auto"/>
        <w:rPr>
          <w:rFonts w:ascii="宋体" w:hAnsi="宋体" w:eastAsia="宋体" w:cs="Times New Roman"/>
          <w:sz w:val="24"/>
          <w:szCs w:val="24"/>
        </w:rPr>
      </w:pPr>
      <w:bookmarkStart w:id="76" w:name="_Toc160210540"/>
      <w:r>
        <w:rPr>
          <w:rFonts w:ascii="宋体" w:hAnsi="宋体" w:eastAsia="宋体" w:cs="Times New Roman"/>
          <w:sz w:val="24"/>
          <w:szCs w:val="24"/>
        </w:rPr>
        <w:t>5.3校外本科教学实习实训基地情况</w:t>
      </w:r>
      <w:bookmarkEnd w:id="76"/>
    </w:p>
    <w:p>
      <w:pPr>
        <w:shd w:val="clear" w:color="auto" w:fill="FFFFFF"/>
        <w:adjustRightInd w:val="0"/>
        <w:snapToGrid w:val="0"/>
        <w:spacing w:line="360" w:lineRule="auto"/>
        <w:ind w:firstLine="480" w:firstLineChars="200"/>
      </w:pPr>
      <w:r>
        <w:t>目前本专业在校内外有</w:t>
      </w:r>
      <w:r>
        <w:rPr>
          <w:rFonts w:hint="eastAsia"/>
        </w:rPr>
        <w:t>8</w:t>
      </w:r>
      <w:r>
        <w:t>个稳定的实习基地，确保学生专业实践与实习的需要。</w:t>
      </w:r>
      <w:r>
        <w:rPr>
          <w:rFonts w:hint="eastAsia"/>
        </w:rPr>
        <w:t>其中上海宝艺智能科技有限公司</w:t>
      </w:r>
      <w:r>
        <w:t>、</w:t>
      </w:r>
      <w:r>
        <w:rPr>
          <w:rFonts w:hint="eastAsia"/>
        </w:rPr>
        <w:t>上海昕亚新材料科技有限公司</w:t>
      </w:r>
      <w:r>
        <w:t>、</w:t>
      </w:r>
      <w:r>
        <w:rPr>
          <w:rFonts w:hint="eastAsia"/>
        </w:rPr>
        <w:t>上海麦星企业管理咨询有限公司</w:t>
      </w:r>
      <w:r>
        <w:t>这3个基地都是在2022年建立的，本年度接纳的学生总数均为45人次。上海移远通讯股份有限公司</w:t>
      </w:r>
      <w:r>
        <w:rPr>
          <w:rFonts w:hint="eastAsia"/>
        </w:rPr>
        <w:t>和上海付迅信息科技有限公司</w:t>
      </w:r>
      <w:r>
        <w:t>这2个基地都是在2020年建立的，本年度接纳的学生总数均为12人次。</w:t>
      </w:r>
      <w:r>
        <w:rPr>
          <w:rFonts w:hint="eastAsia"/>
        </w:rPr>
        <w:t>猎聘</w:t>
      </w:r>
      <w:r>
        <w:t>是在2018年建立的，本年度接纳的学生总数均为4人次。</w:t>
      </w:r>
      <w:r>
        <w:rPr>
          <w:rFonts w:hint="eastAsia"/>
        </w:rPr>
        <w:t>上海联怡枇杷乐园投资管理有限公司</w:t>
      </w:r>
      <w:r>
        <w:t>是在2019年建立的，本年度接纳的学生总数均为8人次。</w:t>
      </w:r>
      <w:r>
        <w:rPr>
          <w:rFonts w:hint="eastAsia"/>
        </w:rPr>
        <w:t>上海猕赛智能科技有限公司</w:t>
      </w:r>
      <w:r>
        <w:t>是在2021年建立的，本年度接纳的学生总数均为10人次。</w:t>
      </w:r>
    </w:p>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w:t>
      </w:r>
      <w:r>
        <w:rPr>
          <w:rFonts w:hint="eastAsia" w:ascii="Times New Roman" w:hAnsi="Times New Roman" w:eastAsia="仿宋" w:cs="Times New Roman"/>
          <w:color w:val="000000" w:themeColor="text1"/>
          <w:lang w:val="en-US" w:eastAsia="zh-CN"/>
          <w14:textFill>
            <w14:solidFill>
              <w14:schemeClr w14:val="tx1"/>
            </w14:solidFill>
          </w14:textFill>
        </w:rPr>
        <w:t>20</w:t>
      </w:r>
      <w:r>
        <w:rPr>
          <w:rFonts w:ascii="Times New Roman" w:hAnsi="Times New Roman" w:eastAsia="仿宋" w:cs="Times New Roman"/>
          <w:color w:val="000000" w:themeColor="text1"/>
          <w14:textFill>
            <w14:solidFill>
              <w14:schemeClr w14:val="tx1"/>
            </w14:solidFill>
          </w14:textFill>
        </w:rPr>
        <w:t>校外本科教学实习实训基地情况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Pr>
          <w:p>
            <w:pPr>
              <w:jc w:val="center"/>
              <w:rPr>
                <w:sz w:val="21"/>
                <w:szCs w:val="21"/>
              </w:rPr>
            </w:pPr>
            <w:r>
              <w:rPr>
                <w:rFonts w:hint="eastAsia"/>
                <w:sz w:val="21"/>
                <w:szCs w:val="21"/>
              </w:rPr>
              <w:t>基地名称</w:t>
            </w:r>
          </w:p>
        </w:tc>
        <w:tc>
          <w:tcPr>
            <w:tcW w:w="1401" w:type="dxa"/>
          </w:tcPr>
          <w:p>
            <w:pPr>
              <w:jc w:val="center"/>
              <w:rPr>
                <w:sz w:val="21"/>
                <w:szCs w:val="21"/>
              </w:rPr>
            </w:pPr>
            <w:r>
              <w:rPr>
                <w:rFonts w:hint="eastAsia"/>
                <w:sz w:val="21"/>
                <w:szCs w:val="21"/>
              </w:rPr>
              <w:t>建立时间</w:t>
            </w:r>
          </w:p>
        </w:tc>
        <w:tc>
          <w:tcPr>
            <w:tcW w:w="2914" w:type="dxa"/>
          </w:tcPr>
          <w:p>
            <w:pPr>
              <w:jc w:val="center"/>
              <w:rPr>
                <w:sz w:val="21"/>
                <w:szCs w:val="21"/>
              </w:rPr>
            </w:pPr>
            <w:r>
              <w:rPr>
                <w:rFonts w:hint="eastAsia"/>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szCs w:val="20"/>
              </w:rPr>
              <w:t>上海移远通讯股份有限公司</w:t>
            </w:r>
          </w:p>
        </w:tc>
        <w:tc>
          <w:tcPr>
            <w:tcW w:w="1401" w:type="dxa"/>
            <w:vAlign w:val="center"/>
          </w:tcPr>
          <w:p>
            <w:pPr>
              <w:jc w:val="center"/>
              <w:rPr>
                <w:sz w:val="20"/>
                <w:szCs w:val="20"/>
              </w:rPr>
            </w:pPr>
            <w:r>
              <w:rPr>
                <w:sz w:val="20"/>
                <w:szCs w:val="20"/>
              </w:rPr>
              <w:t>2020</w:t>
            </w:r>
          </w:p>
        </w:tc>
        <w:tc>
          <w:tcPr>
            <w:tcW w:w="2914" w:type="dxa"/>
            <w:vAlign w:val="center"/>
          </w:tcPr>
          <w:p>
            <w:pPr>
              <w:jc w:val="center"/>
              <w:rPr>
                <w:sz w:val="20"/>
                <w:szCs w:val="20"/>
              </w:rPr>
            </w:pPr>
            <w:r>
              <w:rPr>
                <w:sz w:val="20"/>
                <w:szCs w:val="20"/>
              </w:rPr>
              <w:t>5</w:t>
            </w:r>
            <w:bookmarkStart w:id="77" w:name="OLE_LINK50"/>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bookmarkStart w:id="78" w:name="_Hlk160200254"/>
            <w:r>
              <w:rPr>
                <w:sz w:val="20"/>
              </w:rPr>
              <w:t>猎聘</w:t>
            </w:r>
            <w:bookmarkEnd w:id="78"/>
          </w:p>
        </w:tc>
        <w:tc>
          <w:tcPr>
            <w:tcW w:w="1401" w:type="dxa"/>
            <w:vAlign w:val="center"/>
          </w:tcPr>
          <w:p>
            <w:pPr>
              <w:jc w:val="center"/>
              <w:rPr>
                <w:sz w:val="20"/>
                <w:szCs w:val="20"/>
              </w:rPr>
            </w:pPr>
            <w:r>
              <w:rPr>
                <w:sz w:val="20"/>
              </w:rPr>
              <w:t>2018</w:t>
            </w:r>
          </w:p>
        </w:tc>
        <w:tc>
          <w:tcPr>
            <w:tcW w:w="2914" w:type="dxa"/>
            <w:vAlign w:val="center"/>
          </w:tcPr>
          <w:p>
            <w:pPr>
              <w:jc w:val="center"/>
              <w:rPr>
                <w:sz w:val="20"/>
                <w:szCs w:val="20"/>
              </w:rPr>
            </w:pPr>
            <w:r>
              <w:rPr>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bookmarkStart w:id="79" w:name="_Hlk160200204"/>
            <w:r>
              <w:rPr>
                <w:sz w:val="20"/>
              </w:rPr>
              <w:t>上海付迅信息科技有限公司</w:t>
            </w:r>
            <w:bookmarkEnd w:id="79"/>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上海联怡枇杷乐园投资管理有限公司</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bookmarkStart w:id="80" w:name="_Hlk160200334"/>
            <w:r>
              <w:rPr>
                <w:sz w:val="20"/>
              </w:rPr>
              <w:t>上海猕赛智能科技有限公司</w:t>
            </w:r>
            <w:bookmarkEnd w:id="80"/>
          </w:p>
        </w:tc>
        <w:tc>
          <w:tcPr>
            <w:tcW w:w="1401" w:type="dxa"/>
            <w:vAlign w:val="center"/>
          </w:tcPr>
          <w:p>
            <w:pPr>
              <w:jc w:val="center"/>
              <w:rPr>
                <w:sz w:val="20"/>
                <w:szCs w:val="20"/>
              </w:rPr>
            </w:pPr>
            <w:r>
              <w:rPr>
                <w:sz w:val="20"/>
              </w:rPr>
              <w:t>2021</w:t>
            </w:r>
          </w:p>
        </w:tc>
        <w:tc>
          <w:tcPr>
            <w:tcW w:w="2914" w:type="dxa"/>
            <w:vAlign w:val="center"/>
          </w:tcPr>
          <w:p>
            <w:pPr>
              <w:jc w:val="center"/>
              <w:rPr>
                <w:sz w:val="20"/>
                <w:szCs w:val="20"/>
              </w:rPr>
            </w:pPr>
            <w:r>
              <w:rPr>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bookmarkStart w:id="81" w:name="_Hlk160200105"/>
            <w:r>
              <w:rPr>
                <w:sz w:val="20"/>
              </w:rPr>
              <w:t>上海宝艺智能科技有限公司</w:t>
            </w:r>
          </w:p>
        </w:tc>
        <w:tc>
          <w:tcPr>
            <w:tcW w:w="1401" w:type="dxa"/>
            <w:vAlign w:val="center"/>
          </w:tcPr>
          <w:p>
            <w:pPr>
              <w:jc w:val="center"/>
              <w:rPr>
                <w:sz w:val="20"/>
                <w:szCs w:val="20"/>
              </w:rPr>
            </w:pPr>
            <w:r>
              <w:rPr>
                <w:sz w:val="20"/>
              </w:rPr>
              <w:t>2022</w:t>
            </w:r>
          </w:p>
        </w:tc>
        <w:tc>
          <w:tcPr>
            <w:tcW w:w="2914" w:type="dxa"/>
            <w:vAlign w:val="center"/>
          </w:tcPr>
          <w:p>
            <w:pPr>
              <w:jc w:val="center"/>
              <w:rPr>
                <w:sz w:val="20"/>
                <w:szCs w:val="20"/>
              </w:rPr>
            </w:pPr>
            <w:r>
              <w:rPr>
                <w:sz w:val="20"/>
              </w:rPr>
              <w:t>15</w:t>
            </w:r>
          </w:p>
        </w:tc>
      </w:tr>
      <w:bookmark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bookmarkStart w:id="82" w:name="_Hlk160200115"/>
            <w:r>
              <w:rPr>
                <w:sz w:val="20"/>
              </w:rPr>
              <w:t>上海昕亚新材料科技有限公司</w:t>
            </w:r>
            <w:bookmarkEnd w:id="82"/>
          </w:p>
        </w:tc>
        <w:tc>
          <w:tcPr>
            <w:tcW w:w="1401" w:type="dxa"/>
            <w:vAlign w:val="center"/>
          </w:tcPr>
          <w:p>
            <w:pPr>
              <w:jc w:val="center"/>
              <w:rPr>
                <w:sz w:val="20"/>
                <w:szCs w:val="20"/>
              </w:rPr>
            </w:pPr>
            <w:r>
              <w:rPr>
                <w:sz w:val="20"/>
              </w:rPr>
              <w:t>2022</w:t>
            </w:r>
          </w:p>
        </w:tc>
        <w:tc>
          <w:tcPr>
            <w:tcW w:w="2914" w:type="dxa"/>
            <w:vAlign w:val="center"/>
          </w:tcPr>
          <w:p>
            <w:pPr>
              <w:jc w:val="center"/>
              <w:rPr>
                <w:sz w:val="20"/>
                <w:szCs w:val="20"/>
              </w:rPr>
            </w:pPr>
            <w:r>
              <w:rPr>
                <w:sz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bookmarkStart w:id="83" w:name="_Hlk160200129"/>
            <w:r>
              <w:rPr>
                <w:sz w:val="20"/>
              </w:rPr>
              <w:t>上海麦星企业管理咨询有限公司</w:t>
            </w:r>
            <w:bookmarkEnd w:id="83"/>
          </w:p>
        </w:tc>
        <w:tc>
          <w:tcPr>
            <w:tcW w:w="1401" w:type="dxa"/>
            <w:vAlign w:val="center"/>
          </w:tcPr>
          <w:p>
            <w:pPr>
              <w:jc w:val="center"/>
              <w:rPr>
                <w:sz w:val="20"/>
                <w:szCs w:val="20"/>
              </w:rPr>
            </w:pPr>
            <w:r>
              <w:rPr>
                <w:sz w:val="20"/>
              </w:rPr>
              <w:t>2022</w:t>
            </w:r>
          </w:p>
        </w:tc>
        <w:tc>
          <w:tcPr>
            <w:tcW w:w="2914" w:type="dxa"/>
            <w:vAlign w:val="center"/>
          </w:tcPr>
          <w:p>
            <w:pPr>
              <w:jc w:val="center"/>
              <w:rPr>
                <w:sz w:val="20"/>
                <w:szCs w:val="20"/>
              </w:rPr>
            </w:pPr>
            <w:r>
              <w:rPr>
                <w:sz w:val="20"/>
              </w:rPr>
              <w:t>15</w:t>
            </w:r>
          </w:p>
        </w:tc>
      </w:tr>
    </w:tbl>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p>
    <w:p>
      <w:pPr>
        <w:pStyle w:val="3"/>
        <w:adjustRightInd w:val="0"/>
        <w:snapToGrid w:val="0"/>
        <w:spacing w:before="0" w:after="0" w:line="360" w:lineRule="auto"/>
        <w:jc w:val="left"/>
        <w:rPr>
          <w:rFonts w:ascii="宋体" w:hAnsi="宋体"/>
          <w:sz w:val="28"/>
          <w:szCs w:val="28"/>
        </w:rPr>
      </w:pPr>
      <w:bookmarkStart w:id="84" w:name="_Toc160210541"/>
      <w:r>
        <w:rPr>
          <w:rFonts w:ascii="宋体" w:hAnsi="宋体"/>
          <w:sz w:val="28"/>
          <w:szCs w:val="28"/>
        </w:rPr>
        <w:t>6.质量保障</w:t>
      </w:r>
      <w:bookmarkEnd w:id="84"/>
      <w:r>
        <w:rPr>
          <w:rFonts w:ascii="宋体" w:hAnsi="宋体"/>
          <w:sz w:val="28"/>
          <w:szCs w:val="28"/>
        </w:rPr>
        <w:t xml:space="preserve"> </w:t>
      </w:r>
    </w:p>
    <w:p>
      <w:pPr>
        <w:pStyle w:val="4"/>
        <w:adjustRightInd w:val="0"/>
        <w:snapToGrid w:val="0"/>
        <w:spacing w:before="0" w:after="0" w:line="360" w:lineRule="auto"/>
        <w:rPr>
          <w:rFonts w:ascii="宋体" w:hAnsi="宋体" w:eastAsia="宋体" w:cs="Times New Roman"/>
          <w:sz w:val="24"/>
          <w:szCs w:val="24"/>
        </w:rPr>
      </w:pPr>
      <w:bookmarkStart w:id="85" w:name="_Toc160210542"/>
      <w:r>
        <w:rPr>
          <w:rFonts w:ascii="宋体" w:hAnsi="宋体" w:eastAsia="宋体" w:cs="Times New Roman"/>
          <w:sz w:val="24"/>
          <w:szCs w:val="24"/>
        </w:rPr>
        <w:t>6.1质量保障体系</w:t>
      </w:r>
      <w:bookmarkEnd w:id="85"/>
    </w:p>
    <w:p>
      <w:pPr>
        <w:pStyle w:val="17"/>
        <w:adjustRightInd w:val="0"/>
        <w:snapToGrid w:val="0"/>
        <w:spacing w:line="360" w:lineRule="auto"/>
        <w:rPr>
          <w:rFonts w:cs="Times New Roman"/>
          <w:b/>
          <w:color w:val="000000"/>
        </w:rPr>
      </w:pPr>
      <w:r>
        <w:rPr>
          <w:rFonts w:cs="Times New Roman"/>
          <w:b/>
          <w:color w:val="000000"/>
        </w:rPr>
        <w:t>（1）建立了完善的教学质量保障体系</w:t>
      </w:r>
    </w:p>
    <w:p>
      <w:pPr>
        <w:adjustRightInd w:val="0"/>
        <w:snapToGrid w:val="0"/>
        <w:spacing w:line="360" w:lineRule="auto"/>
        <w:ind w:firstLine="480" w:firstLineChars="200"/>
      </w:pPr>
      <w:r>
        <w:t>建立了由主管教学院长担任组长、各系主任担任组员、各专业教师严格自我约束的教学质量保障机构，同时设置相应的教学管理岗位负责具体的管理工作安排,并配合教务处教学质量科开展相应工作。设教学督导组等，对院系的教学工作进行全面监督、检查和指导。</w:t>
      </w:r>
    </w:p>
    <w:p>
      <w:pPr>
        <w:pStyle w:val="17"/>
        <w:adjustRightInd w:val="0"/>
        <w:snapToGrid w:val="0"/>
        <w:spacing w:line="360" w:lineRule="auto"/>
        <w:rPr>
          <w:rFonts w:cs="Times New Roman"/>
          <w:b/>
          <w:color w:val="000000"/>
        </w:rPr>
      </w:pPr>
      <w:r>
        <w:rPr>
          <w:rFonts w:cs="Times New Roman"/>
          <w:b/>
          <w:color w:val="000000"/>
        </w:rPr>
        <w:t>（2）实施了全面的教学质量监控流程</w:t>
      </w:r>
    </w:p>
    <w:p>
      <w:pPr>
        <w:adjustRightInd w:val="0"/>
        <w:snapToGrid w:val="0"/>
        <w:spacing w:line="360" w:lineRule="auto"/>
        <w:ind w:firstLine="480" w:firstLineChars="200"/>
      </w:pPr>
      <w:r>
        <w:t>人力资源管理专业依据自身定位和人才培养目标，建立起了涵盖专业建设、课程建设、理论教学、实践教学（实验、实习、社会实践、课程设计、毕业论文或设计等）等本科教学各环节的质量标准，对保障教学质量起到了重要的积极作用。</w:t>
      </w:r>
    </w:p>
    <w:p>
      <w:pPr>
        <w:pStyle w:val="17"/>
        <w:adjustRightInd w:val="0"/>
        <w:snapToGrid w:val="0"/>
        <w:spacing w:line="360" w:lineRule="auto"/>
        <w:rPr>
          <w:rFonts w:cs="Times New Roman"/>
          <w:b/>
          <w:color w:val="000000"/>
        </w:rPr>
      </w:pPr>
      <w:r>
        <w:rPr>
          <w:rFonts w:cs="Times New Roman"/>
          <w:b/>
          <w:color w:val="000000"/>
        </w:rPr>
        <w:t>（3）构建了有效的专业教学团队协作机制</w:t>
      </w:r>
    </w:p>
    <w:p>
      <w:pPr>
        <w:shd w:val="clear" w:color="auto" w:fill="FFFFFF"/>
        <w:adjustRightInd w:val="0"/>
        <w:snapToGrid w:val="0"/>
        <w:spacing w:line="360" w:lineRule="auto"/>
        <w:ind w:firstLine="480" w:firstLineChars="200"/>
      </w:pPr>
      <w:r>
        <w:t>专业负责人对专业培养方案、课程体系设计进行总体规划，人力资源管理专业共同讨论制定方案；教学文件齐全、规范，日常管理有序到位；各项教学活动安排及时周密，运行稳定。</w:t>
      </w:r>
    </w:p>
    <w:p>
      <w:pPr>
        <w:pStyle w:val="4"/>
        <w:adjustRightInd w:val="0"/>
        <w:snapToGrid w:val="0"/>
        <w:spacing w:before="0" w:after="0" w:line="360" w:lineRule="auto"/>
        <w:rPr>
          <w:rFonts w:ascii="宋体" w:hAnsi="宋体" w:eastAsia="宋体" w:cs="Times New Roman"/>
          <w:sz w:val="24"/>
          <w:szCs w:val="24"/>
        </w:rPr>
      </w:pPr>
      <w:bookmarkStart w:id="86" w:name="_Toc160210543"/>
      <w:r>
        <w:rPr>
          <w:rFonts w:ascii="宋体" w:hAnsi="宋体" w:eastAsia="宋体" w:cs="Times New Roman"/>
          <w:sz w:val="24"/>
          <w:szCs w:val="24"/>
        </w:rPr>
        <w:t>6.2质量监控制度及实施办法</w:t>
      </w:r>
      <w:bookmarkEnd w:id="86"/>
    </w:p>
    <w:p>
      <w:pPr>
        <w:pStyle w:val="17"/>
        <w:adjustRightInd w:val="0"/>
        <w:snapToGrid w:val="0"/>
        <w:spacing w:line="360" w:lineRule="auto"/>
        <w:ind w:firstLine="482" w:firstLineChars="200"/>
        <w:rPr>
          <w:rFonts w:cs="Times New Roman"/>
          <w:b/>
          <w:color w:val="000000"/>
        </w:rPr>
      </w:pPr>
      <w:r>
        <w:rPr>
          <w:rFonts w:cs="Times New Roman"/>
          <w:b/>
          <w:color w:val="000000"/>
        </w:rPr>
        <w:t>1. 教学质量的检查、评价、反馈、改进机制</w:t>
      </w:r>
    </w:p>
    <w:p>
      <w:pPr>
        <w:shd w:val="clear" w:color="auto" w:fill="FFFFFF"/>
        <w:adjustRightInd w:val="0"/>
        <w:snapToGrid w:val="0"/>
        <w:spacing w:line="360" w:lineRule="auto"/>
        <w:ind w:firstLine="480" w:firstLineChars="200"/>
      </w:pPr>
      <w:r>
        <w:t>在课堂教学管理中，我们建立了课堂教学评价指标体系，要求教师在课堂教学中，严格按照管理学院课堂教学管理规范施教，不断改进教学方法手段和授课艺术，努力提高课堂教学质量，人力资源管理专业每年都要组织青年教师课堂教学比赛，坚持每月对教师课堂教学情况进行一次讲评，并通过学生评教，督学评教，教师自查自评，教授委员会评教，加强对课堂教学质量的监控。</w:t>
      </w:r>
    </w:p>
    <w:p>
      <w:pPr>
        <w:adjustRightInd w:val="0"/>
        <w:snapToGrid w:val="0"/>
        <w:spacing w:line="360" w:lineRule="auto"/>
        <w:ind w:firstLine="482" w:firstLineChars="200"/>
        <w:rPr>
          <w:b/>
          <w:bCs/>
        </w:rPr>
      </w:pPr>
      <w:r>
        <w:rPr>
          <w:b/>
          <w:bCs/>
        </w:rPr>
        <w:t>2.</w:t>
      </w:r>
      <w:r>
        <w:rPr>
          <w:rFonts w:hint="eastAsia"/>
          <w:b/>
          <w:bCs/>
        </w:rPr>
        <w:t xml:space="preserve"> </w:t>
      </w:r>
      <w:r>
        <w:rPr>
          <w:b/>
          <w:color w:val="000000"/>
        </w:rPr>
        <w:t>建立专业质量报告制度</w:t>
      </w:r>
    </w:p>
    <w:p>
      <w:pPr>
        <w:shd w:val="clear" w:color="auto" w:fill="FFFFFF"/>
        <w:adjustRightInd w:val="0"/>
        <w:snapToGrid w:val="0"/>
        <w:spacing w:line="360" w:lineRule="auto"/>
        <w:ind w:firstLine="480" w:firstLineChars="200"/>
      </w:pPr>
      <w:r>
        <w:t>根据教育部、上海市教委的相关规定，学校</w:t>
      </w:r>
      <w:r>
        <w:rPr>
          <w:rFonts w:hint="eastAsia"/>
        </w:rPr>
        <w:t>自</w:t>
      </w:r>
      <w:r>
        <w:t>2015年</w:t>
      </w:r>
      <w:r>
        <w:rPr>
          <w:rFonts w:hint="eastAsia"/>
        </w:rPr>
        <w:t>开始，每年定期</w:t>
      </w:r>
      <w:r>
        <w:t>公开发布《</w:t>
      </w:r>
      <w:r>
        <w:fldChar w:fldCharType="begin"/>
      </w:r>
      <w:r>
        <w:instrText xml:space="preserve"> HYPERLINK "http://www.baidu.com/link?url=DJ28I-vJIAYV6_wzeqqfQ2UQGQkjZ2Sta56-16i4VXymr4ZF9jUMWatydnkwUrCcIoyB1hYqygcOv0Zrz18H0WQ8BCE7eXhoZ7OWNeIopfzo9tDqDd04geWIUx_PCeUqcwFopILRdjLro5zIfMU9LZqXRCH_VCaQ_9EOTnU4xTi" \t "_blank" </w:instrText>
      </w:r>
      <w:r>
        <w:fldChar w:fldCharType="separate"/>
      </w:r>
      <w:r>
        <w:t>上海工程技术大学年度本科教学质量报告</w:t>
      </w:r>
      <w:r>
        <w:fldChar w:fldCharType="end"/>
      </w:r>
      <w:r>
        <w:t>》，报告从六大部分分析了学校本科教学质量的基本现状和主要问题。根据</w:t>
      </w:r>
      <w:r>
        <w:rPr>
          <w:rFonts w:hint="eastAsia"/>
        </w:rPr>
        <w:t>学校</w:t>
      </w:r>
      <w:r>
        <w:t>相关要求，本专业也定期进行专业质量自查和评估。</w:t>
      </w:r>
    </w:p>
    <w:p>
      <w:pPr>
        <w:shd w:val="clear" w:color="auto" w:fill="FFFFFF"/>
        <w:adjustRightInd w:val="0"/>
        <w:snapToGrid w:val="0"/>
        <w:spacing w:line="360" w:lineRule="auto"/>
        <w:ind w:firstLine="482" w:firstLineChars="200"/>
        <w:rPr>
          <w:b/>
          <w:color w:val="333333"/>
        </w:rPr>
      </w:pPr>
      <w:r>
        <w:rPr>
          <w:b/>
          <w:color w:val="333333"/>
        </w:rPr>
        <w:t>3.</w:t>
      </w:r>
      <w:r>
        <w:rPr>
          <w:rFonts w:hint="eastAsia"/>
          <w:b/>
          <w:color w:val="333333"/>
        </w:rPr>
        <w:t xml:space="preserve"> </w:t>
      </w:r>
      <w:r>
        <w:rPr>
          <w:b/>
          <w:color w:val="333333"/>
        </w:rPr>
        <w:t>教学质量评估反馈及持续改进</w:t>
      </w:r>
    </w:p>
    <w:p>
      <w:pPr>
        <w:shd w:val="clear" w:color="auto" w:fill="FFFFFF"/>
        <w:adjustRightInd w:val="0"/>
        <w:snapToGrid w:val="0"/>
        <w:spacing w:line="360" w:lineRule="auto"/>
        <w:ind w:firstLine="482" w:firstLineChars="200"/>
      </w:pPr>
      <w:r>
        <w:rPr>
          <w:b/>
        </w:rPr>
        <w:t>教学质量信息的反馈：</w:t>
      </w:r>
      <w:r>
        <w:t>依托学院资源，通过统计、分析教学基本状态数据，对运行中即将或已经出现异常的情况及时给予反馈，并对变化趋势进行分析，实现对教学管理的实时性、准确性、持续性。</w:t>
      </w:r>
    </w:p>
    <w:p>
      <w:pPr>
        <w:shd w:val="clear" w:color="auto" w:fill="FFFFFF"/>
        <w:adjustRightInd w:val="0"/>
        <w:snapToGrid w:val="0"/>
        <w:spacing w:line="360" w:lineRule="auto"/>
        <w:ind w:firstLine="482" w:firstLineChars="200"/>
      </w:pPr>
      <w:r>
        <w:rPr>
          <w:b/>
        </w:rPr>
        <w:t>就业质量信息的反馈：</w:t>
      </w:r>
      <w:r>
        <w:t>完善以就业质量为导向的教学质量反馈机制，重视用人单位、行业和本专业校友对教育教学的信息反馈和互动，立足社会需求确立本科专业质量标准中的“培养目标”和“毕业要求”，并以此修改人才培养方案中的“课程体系”。</w:t>
      </w:r>
    </w:p>
    <w:p>
      <w:pPr>
        <w:pStyle w:val="4"/>
        <w:adjustRightInd w:val="0"/>
        <w:snapToGrid w:val="0"/>
        <w:spacing w:before="0" w:after="0" w:line="360" w:lineRule="auto"/>
        <w:rPr>
          <w:rFonts w:ascii="宋体" w:hAnsi="宋体" w:eastAsia="宋体" w:cs="Times New Roman"/>
          <w:sz w:val="24"/>
          <w:szCs w:val="24"/>
        </w:rPr>
      </w:pPr>
      <w:bookmarkStart w:id="87" w:name="_Toc160210544"/>
      <w:r>
        <w:rPr>
          <w:rFonts w:ascii="宋体" w:hAnsi="宋体" w:eastAsia="宋体" w:cs="Times New Roman"/>
          <w:sz w:val="24"/>
          <w:szCs w:val="24"/>
        </w:rPr>
        <w:t>6.3质量评估反馈及持续改进</w:t>
      </w:r>
      <w:bookmarkEnd w:id="87"/>
      <w:r>
        <w:rPr>
          <w:rFonts w:ascii="宋体" w:hAnsi="宋体" w:eastAsia="宋体" w:cs="Times New Roman"/>
          <w:sz w:val="24"/>
          <w:szCs w:val="24"/>
        </w:rPr>
        <w:t xml:space="preserve"> </w:t>
      </w:r>
    </w:p>
    <w:p>
      <w:pPr>
        <w:adjustRightInd w:val="0"/>
        <w:snapToGrid w:val="0"/>
        <w:spacing w:line="360" w:lineRule="auto"/>
        <w:ind w:firstLine="48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专业能根据培养目标、毕业要求和课程目标达成情况的评价结果，以及外部评价收集的信息，有针对性地开展专业的持续改进工作。建立了由主管教学院长担任组长、各系主任担任组员、各专业教师严格自我约束的教学质量保障机构，同时设置相应的教学管理岗位负责具体的管理工作安排</w:t>
      </w:r>
      <w:r>
        <w:rPr>
          <w:rFonts w:cs="Times New Roman"/>
          <w:color w:val="000000" w:themeColor="text1"/>
          <w14:textFill>
            <w14:solidFill>
              <w14:schemeClr w14:val="tx1"/>
            </w14:solidFill>
          </w14:textFill>
        </w:rPr>
        <w:t>,并配合教务处教学质量科开展相应工作。设教学督导组等，对院系的教学工作进行全面监督、检查和指导，保证及时发现问题、及时调整改进、及时复核与备案。能够将有效课堂不断优化改进为高效课堂，并进一步完善打造生命力课堂，持续监控和改进教师教学规范，强调授课内容深刻结</w:t>
      </w:r>
      <w:r>
        <w:rPr>
          <w:rFonts w:hint="eastAsia" w:cs="Times New Roman"/>
          <w:color w:val="000000" w:themeColor="text1"/>
          <w14:textFill>
            <w14:solidFill>
              <w14:schemeClr w14:val="tx1"/>
            </w14:solidFill>
          </w14:textFill>
        </w:rPr>
        <w:t>合时代热点，培养专业基础扎实、社会适应性强的学生。</w:t>
      </w:r>
    </w:p>
    <w:p>
      <w:pPr>
        <w:adjustRightInd w:val="0"/>
        <w:snapToGrid w:val="0"/>
        <w:spacing w:line="360" w:lineRule="auto"/>
        <w:ind w:firstLine="48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具体而言，本专业建立了教学质量的检查、评价、反馈、改进机制。对专业教学实施经常性检查、评价和反馈，初步建立了教学质量监控体系和持续改进机制。此外，形成了专业质量报告制度，各主要教学环节有明确的质量要求，通过教学环节、过程监控和质量评价促进毕业要求的达成，能够证明评价的结果被用于专业的持续改进，并定期发布专业质量分析报告。</w:t>
      </w:r>
    </w:p>
    <w:p>
      <w:pPr>
        <w:pStyle w:val="4"/>
        <w:adjustRightInd w:val="0"/>
        <w:snapToGrid w:val="0"/>
        <w:spacing w:before="0" w:after="0" w:line="360" w:lineRule="auto"/>
        <w:rPr>
          <w:rFonts w:ascii="宋体" w:hAnsi="宋体" w:eastAsia="宋体" w:cs="Times New Roman"/>
          <w:sz w:val="24"/>
          <w:szCs w:val="24"/>
        </w:rPr>
      </w:pPr>
      <w:bookmarkStart w:id="88" w:name="_Toc160210545"/>
      <w:r>
        <w:rPr>
          <w:rFonts w:ascii="宋体" w:hAnsi="宋体" w:eastAsia="宋体" w:cs="Times New Roman"/>
          <w:sz w:val="24"/>
          <w:szCs w:val="24"/>
        </w:rPr>
        <w:t>6.4在校生与毕业生满意度</w:t>
      </w:r>
      <w:bookmarkEnd w:id="88"/>
      <w:r>
        <w:rPr>
          <w:rFonts w:ascii="宋体" w:hAnsi="宋体" w:eastAsia="宋体" w:cs="Times New Roman"/>
          <w:sz w:val="24"/>
          <w:szCs w:val="24"/>
        </w:rPr>
        <w:t xml:space="preserve"> </w:t>
      </w:r>
    </w:p>
    <w:p>
      <w:pPr>
        <w:tabs>
          <w:tab w:val="left" w:pos="1004"/>
        </w:tabs>
        <w:adjustRightInd w:val="0"/>
        <w:snapToGrid w:val="0"/>
        <w:spacing w:line="360" w:lineRule="auto"/>
        <w:ind w:firstLine="48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人力资源管理专业坚持素质教育与职业培训为一体，知识传授与能力培养为一体，理论教学与实践教学为一体，按照“具有本科底蕴、体现应用特征、确有专业特长、兼有良好职业素养”要求培养高素质的应用型人才。针对主要用人单位关于毕业生满意度的跟踪调查显示，本专业毕业生动手能力强，适应环境快，深受用人单位的青睐。本专业学生就业情况良好，专业相关度较高。近三年，本专业学生在评教时评价优良率均达</w:t>
      </w:r>
      <w:r>
        <w:rPr>
          <w:rFonts w:cs="Times New Roman"/>
          <w:color w:val="000000" w:themeColor="text1"/>
          <w14:textFill>
            <w14:solidFill>
              <w14:schemeClr w14:val="tx1"/>
            </w14:solidFill>
          </w14:textFill>
        </w:rPr>
        <w:t>96%。本专业学生对教育教学工作及教学效果比较满意，评价较好，学生对于专业测评的满意度也是激励未来专业前进的动力，学生也会对于需要改进的地方积极提出自己的建议，供日后工作改善参考。</w:t>
      </w:r>
    </w:p>
    <w:p>
      <w:pPr>
        <w:pStyle w:val="3"/>
        <w:adjustRightInd w:val="0"/>
        <w:snapToGrid w:val="0"/>
        <w:spacing w:before="0" w:after="0" w:line="360" w:lineRule="auto"/>
        <w:jc w:val="left"/>
        <w:rPr>
          <w:rFonts w:ascii="宋体" w:hAnsi="宋体"/>
          <w:sz w:val="28"/>
          <w:szCs w:val="28"/>
        </w:rPr>
      </w:pPr>
      <w:bookmarkStart w:id="89" w:name="_Toc160210546"/>
      <w:r>
        <w:rPr>
          <w:rFonts w:ascii="宋体" w:hAnsi="宋体"/>
          <w:sz w:val="28"/>
          <w:szCs w:val="28"/>
        </w:rPr>
        <w:t>7.学生发展</w:t>
      </w:r>
      <w:bookmarkEnd w:id="89"/>
    </w:p>
    <w:p>
      <w:pPr>
        <w:pStyle w:val="4"/>
        <w:adjustRightInd w:val="0"/>
        <w:snapToGrid w:val="0"/>
        <w:spacing w:before="0" w:after="0" w:line="360" w:lineRule="auto"/>
        <w:rPr>
          <w:rFonts w:ascii="宋体" w:hAnsi="宋体" w:eastAsia="宋体" w:cs="Times New Roman"/>
          <w:sz w:val="24"/>
          <w:szCs w:val="24"/>
        </w:rPr>
      </w:pPr>
      <w:bookmarkStart w:id="90" w:name="_TOC_250024"/>
      <w:bookmarkEnd w:id="90"/>
      <w:bookmarkStart w:id="91" w:name="_Toc160210547"/>
      <w:r>
        <w:rPr>
          <w:rFonts w:ascii="宋体" w:hAnsi="宋体" w:eastAsia="宋体" w:cs="Times New Roman"/>
          <w:sz w:val="24"/>
          <w:szCs w:val="24"/>
        </w:rPr>
        <w:t>7.1本科在校生数量基本情况</w:t>
      </w:r>
      <w:bookmarkEnd w:id="91"/>
      <w:r>
        <w:rPr>
          <w:rFonts w:ascii="宋体" w:hAnsi="宋体" w:eastAsia="宋体" w:cs="Times New Roman"/>
          <w:sz w:val="24"/>
          <w:szCs w:val="24"/>
        </w:rPr>
        <w:t xml:space="preserve"> </w:t>
      </w:r>
    </w:p>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表2</w:t>
      </w:r>
      <w:r>
        <w:rPr>
          <w:rFonts w:hint="eastAsia" w:ascii="Times New Roman" w:hAnsi="Times New Roman" w:eastAsia="仿宋" w:cs="Times New Roman"/>
          <w:color w:val="000000" w:themeColor="text1"/>
          <w:lang w:val="en-US" w:eastAsia="zh-CN"/>
          <w14:textFill>
            <w14:solidFill>
              <w14:schemeClr w14:val="tx1"/>
            </w14:solidFill>
          </w14:textFill>
        </w:rPr>
        <w:t>1</w:t>
      </w:r>
      <w:r>
        <w:rPr>
          <w:rFonts w:hint="eastAsia" w:ascii="Times New Roman" w:hAnsi="Times New Roman" w:eastAsia="仿宋" w:cs="Times New Roman"/>
          <w:color w:val="000000" w:themeColor="text1"/>
          <w14:textFill>
            <w14:solidFill>
              <w14:schemeClr w14:val="tx1"/>
            </w14:solidFill>
          </w14:textFill>
        </w:rPr>
        <w:t>本科在校生数量及年级分布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本科生数</w:t>
            </w:r>
          </w:p>
        </w:tc>
        <w:tc>
          <w:tcPr>
            <w:tcW w:w="4148" w:type="dxa"/>
            <w:vAlign w:val="center"/>
          </w:tcPr>
          <w:p>
            <w:pPr>
              <w:jc w:val="center"/>
              <w:rPr>
                <w:sz w:val="21"/>
                <w:szCs w:val="21"/>
              </w:rPr>
            </w:pPr>
            <w:r>
              <w:rPr>
                <w:sz w:val="21"/>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其中：留学生</w:t>
            </w:r>
          </w:p>
        </w:tc>
        <w:tc>
          <w:tcPr>
            <w:tcW w:w="4148"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港澳台侨学生</w:t>
            </w:r>
          </w:p>
        </w:tc>
        <w:tc>
          <w:tcPr>
            <w:tcW w:w="4148"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其中：一年级</w:t>
            </w:r>
          </w:p>
        </w:tc>
        <w:tc>
          <w:tcPr>
            <w:tcW w:w="4148"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二年级</w:t>
            </w:r>
          </w:p>
        </w:tc>
        <w:tc>
          <w:tcPr>
            <w:tcW w:w="4148" w:type="dxa"/>
            <w:vAlign w:val="center"/>
          </w:tcPr>
          <w:p>
            <w:pPr>
              <w:jc w:val="center"/>
              <w:rPr>
                <w:sz w:val="21"/>
                <w:szCs w:val="21"/>
              </w:rPr>
            </w:pPr>
            <w:r>
              <w:rPr>
                <w:sz w:val="21"/>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三年级</w:t>
            </w:r>
          </w:p>
        </w:tc>
        <w:tc>
          <w:tcPr>
            <w:tcW w:w="4148" w:type="dxa"/>
            <w:vAlign w:val="center"/>
          </w:tcPr>
          <w:p>
            <w:pPr>
              <w:jc w:val="center"/>
              <w:rPr>
                <w:sz w:val="21"/>
                <w:szCs w:val="21"/>
              </w:rPr>
            </w:pPr>
            <w:r>
              <w:rPr>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四年级</w:t>
            </w:r>
          </w:p>
        </w:tc>
        <w:tc>
          <w:tcPr>
            <w:tcW w:w="4148" w:type="dxa"/>
            <w:vAlign w:val="center"/>
          </w:tcPr>
          <w:p>
            <w:pPr>
              <w:jc w:val="center"/>
              <w:rPr>
                <w:sz w:val="21"/>
                <w:szCs w:val="21"/>
              </w:rPr>
            </w:pPr>
            <w:r>
              <w:rPr>
                <w:sz w:val="21"/>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其他</w:t>
            </w:r>
          </w:p>
        </w:tc>
        <w:tc>
          <w:tcPr>
            <w:tcW w:w="4148" w:type="dxa"/>
            <w:vAlign w:val="center"/>
          </w:tcPr>
          <w:p>
            <w:pPr>
              <w:jc w:val="center"/>
              <w:rPr>
                <w:sz w:val="21"/>
                <w:szCs w:val="21"/>
              </w:rPr>
            </w:pPr>
            <w:r>
              <w:rPr>
                <w:sz w:val="21"/>
                <w:szCs w:val="21"/>
              </w:rPr>
              <w:t>0</w:t>
            </w:r>
          </w:p>
        </w:tc>
      </w:tr>
    </w:tbl>
    <w:p>
      <w:pPr>
        <w:rPr>
          <w:rFonts w:ascii="Times New Roman" w:hAnsi="Times New Roman" w:cs="Times New Roman"/>
        </w:rPr>
      </w:pPr>
    </w:p>
    <w:p>
      <w:pPr>
        <w:pStyle w:val="4"/>
        <w:spacing w:before="0" w:after="0"/>
        <w:rPr>
          <w:rFonts w:ascii="Times New Roman" w:hAnsi="Times New Roman" w:eastAsia="宋体" w:cs="Times New Roman"/>
          <w:sz w:val="24"/>
          <w:szCs w:val="24"/>
        </w:rPr>
      </w:pPr>
      <w:bookmarkStart w:id="92" w:name="_Toc160210548"/>
      <w:r>
        <w:rPr>
          <w:rFonts w:ascii="Times New Roman" w:hAnsi="Times New Roman" w:eastAsia="宋体" w:cs="Times New Roman"/>
          <w:sz w:val="24"/>
          <w:szCs w:val="24"/>
        </w:rPr>
        <w:t>7.2毕业生毕业率、学位授予率与去向落实率</w:t>
      </w:r>
      <w:bookmarkEnd w:id="92"/>
    </w:p>
    <w:p>
      <w:pPr>
        <w:shd w:val="clear" w:color="auto" w:fill="FFFFFF"/>
        <w:adjustRightInd w:val="0"/>
        <w:snapToGrid w:val="0"/>
        <w:ind w:firstLine="480" w:firstLineChars="200"/>
        <w:jc w:val="center"/>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表2</w:t>
      </w:r>
      <w:r>
        <w:rPr>
          <w:rFonts w:hint="eastAsia" w:ascii="Times New Roman" w:hAnsi="Times New Roman" w:eastAsia="仿宋" w:cs="Times New Roman"/>
          <w:color w:val="000000" w:themeColor="text1"/>
          <w:lang w:val="en-US" w:eastAsia="zh-CN"/>
          <w14:textFill>
            <w14:solidFill>
              <w14:schemeClr w14:val="tx1"/>
            </w14:solidFill>
          </w14:textFill>
        </w:rPr>
        <w:t>2</w:t>
      </w:r>
      <w:bookmarkStart w:id="105" w:name="_GoBack"/>
      <w:bookmarkEnd w:id="105"/>
      <w:r>
        <w:rPr>
          <w:rFonts w:hint="eastAsia" w:ascii="Times New Roman" w:hAnsi="Times New Roman" w:eastAsia="仿宋" w:cs="Times New Roman"/>
          <w:color w:val="000000" w:themeColor="text1"/>
          <w14:textFill>
            <w14:solidFill>
              <w14:schemeClr w14:val="tx1"/>
            </w14:solidFill>
          </w14:textFill>
        </w:rPr>
        <w:t xml:space="preserve"> 应届生毕业、学位授予及就业去向情况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项目</w:t>
            </w:r>
          </w:p>
        </w:tc>
        <w:tc>
          <w:tcPr>
            <w:tcW w:w="1921" w:type="dxa"/>
            <w:vAlign w:val="center"/>
          </w:tcPr>
          <w:p>
            <w:pPr>
              <w:jc w:val="center"/>
              <w:rPr>
                <w:sz w:val="21"/>
                <w:szCs w:val="21"/>
              </w:rPr>
            </w:pPr>
            <w:r>
              <w:rPr>
                <w:rFonts w:hint="eastAsia"/>
                <w:sz w:val="21"/>
                <w:szCs w:val="21"/>
              </w:rPr>
              <w:t>专业情况</w:t>
            </w:r>
          </w:p>
        </w:tc>
        <w:tc>
          <w:tcPr>
            <w:tcW w:w="3261" w:type="dxa"/>
            <w:vAlign w:val="center"/>
          </w:tcPr>
          <w:p>
            <w:pPr>
              <w:jc w:val="center"/>
              <w:rPr>
                <w:sz w:val="21"/>
                <w:szCs w:val="21"/>
              </w:rPr>
            </w:pPr>
            <w:r>
              <w:rPr>
                <w:rFonts w:hint="eastAsia"/>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bookmarkStart w:id="93" w:name="OLE_LINK53"/>
            <w:r>
              <w:rPr>
                <w:rFonts w:hint="eastAsia"/>
                <w:sz w:val="21"/>
                <w:szCs w:val="21"/>
              </w:rPr>
              <w:t>应届毕业生数</w:t>
            </w:r>
            <w:bookmarkEnd w:id="93"/>
          </w:p>
        </w:tc>
        <w:tc>
          <w:tcPr>
            <w:tcW w:w="1921" w:type="dxa"/>
            <w:vAlign w:val="center"/>
          </w:tcPr>
          <w:p>
            <w:pPr>
              <w:jc w:val="center"/>
              <w:rPr>
                <w:sz w:val="21"/>
                <w:szCs w:val="21"/>
              </w:rPr>
            </w:pPr>
            <w:r>
              <w:rPr>
                <w:sz w:val="21"/>
                <w:szCs w:val="21"/>
              </w:rPr>
              <w:t>36</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应届生中未按时毕业数</w:t>
            </w:r>
          </w:p>
        </w:tc>
        <w:tc>
          <w:tcPr>
            <w:tcW w:w="1921" w:type="dxa"/>
            <w:vAlign w:val="center"/>
          </w:tcPr>
          <w:p>
            <w:pPr>
              <w:jc w:val="center"/>
              <w:rPr>
                <w:sz w:val="21"/>
                <w:szCs w:val="21"/>
              </w:rPr>
            </w:pPr>
            <w:r>
              <w:rPr>
                <w:sz w:val="21"/>
                <w:szCs w:val="21"/>
              </w:rPr>
              <w:t>0</w:t>
            </w:r>
            <w:bookmarkStart w:id="94" w:name="OLE_LINK54"/>
            <w:bookmarkEnd w:id="94"/>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bookmarkStart w:id="95" w:name="OLE_LINK52"/>
            <w:r>
              <w:rPr>
                <w:rFonts w:hint="eastAsia"/>
                <w:sz w:val="21"/>
                <w:szCs w:val="21"/>
              </w:rPr>
              <w:t>毕业率（</w:t>
            </w:r>
            <w:r>
              <w:rPr>
                <w:sz w:val="21"/>
                <w:szCs w:val="21"/>
              </w:rPr>
              <w:t>%</w:t>
            </w:r>
            <w:r>
              <w:rPr>
                <w:rFonts w:hint="eastAsia"/>
                <w:sz w:val="21"/>
                <w:szCs w:val="21"/>
              </w:rPr>
              <w:t>）</w:t>
            </w:r>
            <w:bookmarkEnd w:id="95"/>
            <w:r>
              <w:rPr>
                <w:rFonts w:hint="eastAsia"/>
                <w:sz w:val="21"/>
                <w:szCs w:val="21"/>
              </w:rPr>
              <w:t xml:space="preserve"> </w:t>
            </w:r>
          </w:p>
        </w:tc>
        <w:tc>
          <w:tcPr>
            <w:tcW w:w="1921" w:type="dxa"/>
            <w:vAlign w:val="center"/>
          </w:tcPr>
          <w:p>
            <w:pPr>
              <w:jc w:val="center"/>
              <w:rPr>
                <w:sz w:val="21"/>
                <w:szCs w:val="21"/>
              </w:rPr>
            </w:pPr>
            <w:r>
              <w:rPr>
                <w:sz w:val="21"/>
                <w:szCs w:val="21"/>
              </w:rPr>
              <w:t>100</w:t>
            </w:r>
            <w:bookmarkStart w:id="96" w:name="OLE_LINK51"/>
            <w:bookmarkEnd w:id="96"/>
          </w:p>
        </w:tc>
        <w:tc>
          <w:tcPr>
            <w:tcW w:w="3261" w:type="dxa"/>
            <w:vAlign w:val="center"/>
          </w:tcPr>
          <w:p>
            <w:pPr>
              <w:jc w:val="center"/>
              <w:rPr>
                <w:sz w:val="21"/>
                <w:szCs w:val="21"/>
              </w:rPr>
            </w:pPr>
            <w:r>
              <w:rPr>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学位授予数</w:t>
            </w:r>
          </w:p>
        </w:tc>
        <w:tc>
          <w:tcPr>
            <w:tcW w:w="1921" w:type="dxa"/>
            <w:vAlign w:val="center"/>
          </w:tcPr>
          <w:p>
            <w:pPr>
              <w:jc w:val="center"/>
              <w:rPr>
                <w:sz w:val="21"/>
                <w:szCs w:val="21"/>
              </w:rPr>
            </w:pPr>
            <w:r>
              <w:rPr>
                <w:sz w:val="21"/>
                <w:szCs w:val="21"/>
              </w:rPr>
              <w:t>36</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学位授予率（</w:t>
            </w:r>
            <w:r>
              <w:rPr>
                <w:sz w:val="21"/>
                <w:szCs w:val="21"/>
              </w:rPr>
              <w:t>%</w:t>
            </w:r>
            <w:r>
              <w:rPr>
                <w:rFonts w:hint="eastAsia"/>
                <w:sz w:val="21"/>
                <w:szCs w:val="21"/>
              </w:rPr>
              <w:t xml:space="preserve">） </w:t>
            </w:r>
          </w:p>
        </w:tc>
        <w:tc>
          <w:tcPr>
            <w:tcW w:w="1921" w:type="dxa"/>
            <w:vAlign w:val="center"/>
          </w:tcPr>
          <w:p>
            <w:pPr>
              <w:jc w:val="center"/>
              <w:rPr>
                <w:sz w:val="21"/>
                <w:szCs w:val="21"/>
              </w:rPr>
            </w:pPr>
            <w:r>
              <w:rPr>
                <w:sz w:val="21"/>
                <w:szCs w:val="21"/>
              </w:rPr>
              <w:t>100</w:t>
            </w:r>
          </w:p>
        </w:tc>
        <w:tc>
          <w:tcPr>
            <w:tcW w:w="3261" w:type="dxa"/>
            <w:vAlign w:val="center"/>
          </w:tcPr>
          <w:p>
            <w:pPr>
              <w:jc w:val="center"/>
              <w:rPr>
                <w:sz w:val="21"/>
                <w:szCs w:val="21"/>
              </w:rPr>
            </w:pPr>
            <w:r>
              <w:rPr>
                <w:sz w:val="21"/>
                <w:szCs w:val="21"/>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去向落实数</w:t>
            </w:r>
          </w:p>
        </w:tc>
        <w:tc>
          <w:tcPr>
            <w:tcW w:w="1921" w:type="dxa"/>
            <w:vAlign w:val="center"/>
          </w:tcPr>
          <w:p>
            <w:pPr>
              <w:jc w:val="center"/>
              <w:rPr>
                <w:sz w:val="21"/>
                <w:szCs w:val="21"/>
              </w:rPr>
            </w:pPr>
            <w:r>
              <w:rPr>
                <w:sz w:val="21"/>
                <w:szCs w:val="21"/>
              </w:rPr>
              <w:t>34</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去向落实率（</w:t>
            </w:r>
            <w:r>
              <w:rPr>
                <w:sz w:val="21"/>
                <w:szCs w:val="21"/>
              </w:rPr>
              <w:t>%</w:t>
            </w:r>
            <w:r>
              <w:rPr>
                <w:rFonts w:hint="eastAsia"/>
                <w:sz w:val="21"/>
                <w:szCs w:val="21"/>
              </w:rPr>
              <w:t>）</w:t>
            </w:r>
          </w:p>
        </w:tc>
        <w:tc>
          <w:tcPr>
            <w:tcW w:w="1921" w:type="dxa"/>
            <w:vAlign w:val="center"/>
          </w:tcPr>
          <w:p>
            <w:pPr>
              <w:jc w:val="center"/>
              <w:rPr>
                <w:sz w:val="21"/>
                <w:szCs w:val="21"/>
              </w:rPr>
            </w:pPr>
            <w:r>
              <w:rPr>
                <w:sz w:val="21"/>
                <w:szCs w:val="21"/>
              </w:rPr>
              <w:t>94.44</w:t>
            </w:r>
          </w:p>
        </w:tc>
        <w:tc>
          <w:tcPr>
            <w:tcW w:w="3261" w:type="dxa"/>
            <w:vAlign w:val="center"/>
          </w:tcPr>
          <w:p>
            <w:pPr>
              <w:jc w:val="center"/>
              <w:rPr>
                <w:sz w:val="21"/>
                <w:szCs w:val="21"/>
              </w:rPr>
            </w:pPr>
            <w:r>
              <w:rPr>
                <w:sz w:val="21"/>
                <w:szCs w:val="21"/>
              </w:rPr>
              <w:t>95.87</w:t>
            </w:r>
          </w:p>
        </w:tc>
      </w:tr>
    </w:tbl>
    <w:p>
      <w:pPr>
        <w:shd w:val="clear" w:color="auto" w:fill="FFFFFF"/>
        <w:adjustRightInd w:val="0"/>
        <w:snapToGrid w:val="0"/>
        <w:rPr>
          <w:rFonts w:ascii="Times New Roman" w:hAnsi="Times New Roman" w:eastAsia="仿宋" w:cs="Times New Roman"/>
          <w:color w:val="000000" w:themeColor="text1"/>
          <w14:textFill>
            <w14:solidFill>
              <w14:schemeClr w14:val="tx1"/>
            </w14:solidFill>
          </w14:textFill>
        </w:rPr>
      </w:pPr>
    </w:p>
    <w:p>
      <w:pPr>
        <w:pStyle w:val="4"/>
        <w:spacing w:before="0" w:after="0"/>
        <w:rPr>
          <w:rFonts w:ascii="Times New Roman" w:hAnsi="Times New Roman" w:eastAsia="宋体" w:cs="Times New Roman"/>
          <w:sz w:val="24"/>
          <w:szCs w:val="24"/>
        </w:rPr>
      </w:pPr>
      <w:bookmarkStart w:id="97" w:name="_Toc160210549"/>
      <w:r>
        <w:rPr>
          <w:rFonts w:ascii="Times New Roman" w:hAnsi="Times New Roman" w:eastAsia="宋体" w:cs="Times New Roman"/>
          <w:sz w:val="24"/>
          <w:szCs w:val="24"/>
        </w:rPr>
        <w:t>7.3学风建设情况</w:t>
      </w:r>
      <w:bookmarkEnd w:id="97"/>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学习氛围</w:t>
      </w:r>
    </w:p>
    <w:p>
      <w:pPr>
        <w:pStyle w:val="41"/>
        <w:adjustRightInd w:val="0"/>
        <w:snapToGrid w:val="0"/>
        <w:ind w:firstLine="480"/>
        <w:rPr>
          <w:rFonts w:ascii="宋体" w:hAnsi="宋体" w:eastAsia="宋体"/>
          <w:b w:val="0"/>
          <w:color w:val="000000" w:themeColor="text1"/>
          <w:kern w:val="0"/>
          <w:sz w:val="24"/>
          <w:szCs w:val="24"/>
          <w14:textFill>
            <w14:solidFill>
              <w14:schemeClr w14:val="tx1"/>
            </w14:solidFill>
          </w14:textFill>
        </w:rPr>
      </w:pPr>
      <w:r>
        <w:rPr>
          <w:rFonts w:hint="eastAsia" w:ascii="宋体" w:hAnsi="宋体" w:eastAsia="宋体"/>
          <w:b w:val="0"/>
          <w:color w:val="000000" w:themeColor="text1"/>
          <w:kern w:val="0"/>
          <w:sz w:val="24"/>
          <w:szCs w:val="24"/>
          <w14:textFill>
            <w14:solidFill>
              <w14:schemeClr w14:val="tx1"/>
            </w14:solidFill>
          </w14:textFill>
        </w:rPr>
        <w:t>目前，人力资源管理专业能营造出良好的学习氛围，专业教师能够鼓励学生主动学习、积极进取，学生出勤率在</w:t>
      </w:r>
      <w:r>
        <w:rPr>
          <w:rFonts w:ascii="宋体" w:hAnsi="宋体" w:eastAsia="宋体"/>
          <w:b w:val="0"/>
          <w:color w:val="000000" w:themeColor="text1"/>
          <w:kern w:val="0"/>
          <w:sz w:val="24"/>
          <w:szCs w:val="24"/>
          <w14:textFill>
            <w14:solidFill>
              <w14:schemeClr w14:val="tx1"/>
            </w14:solidFill>
          </w14:textFill>
        </w:rPr>
        <w:t>97%以上，迟到率小于3%，作业完成情况都控制在正常状态，任课教师对学生的平时学习情况评价良好。同时，学生能够自觉遵守校纪校规，考风考纪良好。学校还搭建了学生课外科技及文体活动平台，校园文化活动丰富。</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学习风气</w:t>
      </w:r>
    </w:p>
    <w:p>
      <w:pPr>
        <w:pStyle w:val="41"/>
        <w:adjustRightInd w:val="0"/>
        <w:snapToGrid w:val="0"/>
        <w:ind w:firstLine="480"/>
        <w:rPr>
          <w:rFonts w:ascii="宋体" w:hAnsi="宋体" w:eastAsia="宋体"/>
          <w:b w:val="0"/>
          <w:bCs/>
          <w:color w:val="000000" w:themeColor="text1"/>
          <w:sz w:val="24"/>
          <w:szCs w:val="24"/>
          <w14:textFill>
            <w14:solidFill>
              <w14:schemeClr w14:val="tx1"/>
            </w14:solidFill>
          </w14:textFill>
        </w:rPr>
      </w:pPr>
      <w:r>
        <w:rPr>
          <w:rFonts w:hint="eastAsia" w:ascii="宋体" w:hAnsi="宋体" w:eastAsia="宋体"/>
          <w:b w:val="0"/>
          <w:bCs/>
          <w:color w:val="000000" w:themeColor="text1"/>
          <w:sz w:val="24"/>
          <w:szCs w:val="24"/>
          <w14:textFill>
            <w14:solidFill>
              <w14:schemeClr w14:val="tx1"/>
            </w14:solidFill>
          </w14:textFill>
        </w:rPr>
        <w:t>本专业多数学生认真学习，自觉形成了早晚自习的良好习惯。</w:t>
      </w:r>
      <w:r>
        <w:rPr>
          <w:rFonts w:ascii="宋体" w:hAnsi="宋体" w:eastAsia="宋体"/>
          <w:b w:val="0"/>
          <w:bCs/>
          <w:color w:val="000000" w:themeColor="text1"/>
          <w:sz w:val="24"/>
          <w:szCs w:val="24"/>
          <w14:textFill>
            <w14:solidFill>
              <w14:schemeClr w14:val="tx1"/>
            </w14:solidFill>
          </w14:textFill>
        </w:rPr>
        <w:t>2023届本专业学生五门主要专业课程学习的补考和重修比例均未超过3%，近三年四级通过率一直保持在97%以上，高于全校平均水平。众多学生还选择攻读辅修专业、参加国内外交流学习活动、参加学术讲座活动、计算机软件培训、外语类学习等多种途径的课外学习。</w:t>
      </w:r>
    </w:p>
    <w:p>
      <w:pPr>
        <w:pStyle w:val="66"/>
        <w:adjustRightInd w:val="0"/>
        <w:snapToGrid w:val="0"/>
        <w:ind w:firstLine="482" w:firstLineChars="200"/>
        <w:rPr>
          <w:sz w:val="24"/>
          <w:szCs w:val="24"/>
        </w:rPr>
      </w:pPr>
      <w:r>
        <w:rPr>
          <w:color w:val="000000" w:themeColor="text1"/>
          <w:sz w:val="24"/>
          <w:szCs w:val="24"/>
          <w14:textFill>
            <w14:solidFill>
              <w14:schemeClr w14:val="tx1"/>
            </w14:solidFill>
          </w14:textFill>
        </w:rPr>
        <w:t>（3）</w:t>
      </w:r>
      <w:r>
        <w:rPr>
          <w:rFonts w:hint="eastAsia"/>
          <w:sz w:val="24"/>
          <w:szCs w:val="24"/>
        </w:rPr>
        <w:t>学生指导与学业评估</w:t>
      </w:r>
    </w:p>
    <w:p>
      <w:pPr>
        <w:pStyle w:val="66"/>
        <w:adjustRightInd w:val="0"/>
        <w:snapToGrid w:val="0"/>
        <w:ind w:firstLine="480" w:firstLineChars="200"/>
        <w:rPr>
          <w:b w:val="0"/>
          <w:bCs/>
          <w:sz w:val="24"/>
          <w:szCs w:val="24"/>
        </w:rPr>
      </w:pPr>
      <w:r>
        <w:rPr>
          <w:rFonts w:hint="eastAsia"/>
          <w:b w:val="0"/>
          <w:bCs/>
          <w:sz w:val="24"/>
          <w:szCs w:val="24"/>
        </w:rPr>
        <w:t>为有效帮助学生就业，学校专门开设了《学生就业指导课》，包括：就业及就业指导的基本知识、大学生就业及就业市场介绍、职业与职业设计、就业心态、就业决策、自荐、面试、就业规范等。本课程有效地解决了学生在就业过程中遇到的一些困惑，深受毕业生欢迎。还会定期对学生在整个学习过程中的表现进行跟踪与评估，并通过形成性评价和学业帮扶，针对性地根据学生本人的实际情况，制定适合学生的培养计划，帮助学生顺利完成学业，保证学生达到毕业要求。</w:t>
      </w:r>
    </w:p>
    <w:p>
      <w:pPr>
        <w:pStyle w:val="3"/>
        <w:adjustRightInd w:val="0"/>
        <w:snapToGrid w:val="0"/>
        <w:spacing w:before="0" w:after="0" w:line="360" w:lineRule="auto"/>
        <w:jc w:val="left"/>
        <w:rPr>
          <w:rFonts w:ascii="宋体" w:hAnsi="宋体"/>
          <w:sz w:val="28"/>
          <w:szCs w:val="28"/>
        </w:rPr>
      </w:pPr>
      <w:bookmarkStart w:id="98" w:name="_Toc160210550"/>
      <w:r>
        <w:rPr>
          <w:rFonts w:ascii="宋体" w:hAnsi="宋体"/>
          <w:sz w:val="28"/>
          <w:szCs w:val="28"/>
        </w:rPr>
        <w:t>8.特色发展与案例</w:t>
      </w:r>
      <w:bookmarkEnd w:id="98"/>
    </w:p>
    <w:p>
      <w:pPr>
        <w:adjustRightInd w:val="0"/>
        <w:snapToGrid w:val="0"/>
        <w:spacing w:line="360" w:lineRule="auto"/>
        <w:ind w:firstLine="480" w:firstLineChars="200"/>
      </w:pPr>
      <w:r>
        <w:rPr>
          <w:rFonts w:hint="eastAsia"/>
        </w:rPr>
        <w:t>经过多年的摸索，结合工科院校自身特点以及专业发展目标，人力资源管理逐步形成了自己的专业特色：</w:t>
      </w:r>
    </w:p>
    <w:p>
      <w:pPr>
        <w:pStyle w:val="66"/>
        <w:adjustRightInd w:val="0"/>
        <w:snapToGrid w:val="0"/>
        <w:ind w:firstLine="482" w:firstLineChars="200"/>
        <w:rPr>
          <w:sz w:val="24"/>
          <w:szCs w:val="24"/>
        </w:rPr>
      </w:pPr>
      <w:r>
        <w:rPr>
          <w:rFonts w:hint="eastAsia"/>
          <w:sz w:val="24"/>
          <w:szCs w:val="24"/>
        </w:rPr>
        <w:t>（1）精准对接需求，打造“平台化、流程化、模块化”人才培养模式</w:t>
      </w:r>
    </w:p>
    <w:p>
      <w:pPr>
        <w:adjustRightInd w:val="0"/>
        <w:snapToGrid w:val="0"/>
        <w:spacing w:line="360" w:lineRule="auto"/>
        <w:ind w:firstLine="480" w:firstLineChars="200"/>
      </w:pPr>
      <w:r>
        <w:rPr>
          <w:rFonts w:hint="eastAsia"/>
        </w:rPr>
        <w:t>本专业在</w:t>
      </w:r>
      <w:r>
        <w:rPr>
          <w:rFonts w:hint="eastAsia"/>
          <w:b/>
          <w:bCs/>
        </w:rPr>
        <w:t>“专业基础平台化、专业技能流程化、课程选修模块化”</w:t>
      </w:r>
      <w:r>
        <w:rPr>
          <w:rFonts w:hint="eastAsia"/>
        </w:rPr>
        <w:t>原则的指导下，在课程设置与培养模式上强化自身特色，将知识体系的系统化与人才培养的模块化有机融合。具体实践如：专业基础课程纳入学院平台课；专业特色课程对接人力资源管理实务流程；专业选修课程响应学生个性需求，即从工作分析与规划、招聘、培训、绩效、薪酬以及劳动关系等6个方面进行模块化教学，既精准对接企业的需求，又满足学生的个性化需要。并为此开设了一系相关课程，包括工作分析与工作设计、人力资源测评与选拔、人力资源培训与开发、绩效管理、薪酬管理、员工关系管理等专业特色课。</w:t>
      </w:r>
    </w:p>
    <w:p>
      <w:pPr>
        <w:pStyle w:val="66"/>
        <w:adjustRightInd w:val="0"/>
        <w:snapToGrid w:val="0"/>
        <w:ind w:firstLine="482" w:firstLineChars="200"/>
        <w:rPr>
          <w:sz w:val="24"/>
          <w:szCs w:val="24"/>
        </w:rPr>
      </w:pPr>
      <w:r>
        <w:rPr>
          <w:rFonts w:hint="eastAsia"/>
          <w:sz w:val="24"/>
          <w:szCs w:val="24"/>
        </w:rPr>
        <w:t>（2）注重实践教学，构建“四维一体”能力培养体系</w:t>
      </w:r>
    </w:p>
    <w:p>
      <w:pPr>
        <w:adjustRightInd w:val="0"/>
        <w:snapToGrid w:val="0"/>
        <w:spacing w:line="360" w:lineRule="auto"/>
        <w:ind w:firstLine="480" w:firstLineChars="200"/>
      </w:pPr>
      <w:r>
        <w:rPr>
          <w:rFonts w:hint="eastAsia"/>
        </w:rPr>
        <w:t>本专业坚持现实为导向，积极培养社会所需要的高级应用型人才，并在课程设置、教师资源配置、教学模式与教学方法等方面都进行了大量改革与探索。在课程设计上，增加了实践课程的种类与比例，目前实践课程的学分已经占到总学分的24.5%。在师资配置上，人力资源专业配备既具有理论基础，又具有实践经验的教师从事实践课程的教学与指导工作，此外，还聘请企事业单位的专家、学者参与实践课程的教学。在教学模式上，更多地实施启发式、讨论式、研究式、讲练式的教学方法；建立专业实体模拟教学环境或网上虚拟教学环境；开展情境教学，参与式教学以及翻转课堂等多种形。在实践环节上，强化实习、实训基地建设，目前已建成超过30个校外稳定的实习基地，确保学生专业实践与实习的需要；积极组织学生参加国家、省、学校、学院的创新、创业竞赛和大学生科研训练计划等。</w:t>
      </w:r>
    </w:p>
    <w:p>
      <w:pPr>
        <w:pStyle w:val="66"/>
        <w:adjustRightInd w:val="0"/>
        <w:snapToGrid w:val="0"/>
        <w:ind w:firstLine="482" w:firstLineChars="200"/>
        <w:rPr>
          <w:sz w:val="24"/>
          <w:szCs w:val="24"/>
        </w:rPr>
      </w:pPr>
      <w:r>
        <w:rPr>
          <w:rFonts w:hint="eastAsia"/>
          <w:sz w:val="24"/>
          <w:szCs w:val="24"/>
        </w:rPr>
        <w:t>（3）整合多方资源，形成“立体化”学生综合素养培育平台</w:t>
      </w:r>
    </w:p>
    <w:p>
      <w:pPr>
        <w:adjustRightInd w:val="0"/>
        <w:snapToGrid w:val="0"/>
        <w:spacing w:line="360" w:lineRule="auto"/>
        <w:ind w:firstLine="480" w:firstLineChars="200"/>
      </w:pPr>
      <w:r>
        <w:rPr>
          <w:rFonts w:hint="eastAsia"/>
        </w:rPr>
        <w:t>引进国际优质教学资源，紧跟专业发展的国际前沿，派遣优秀教师和学生赴国外著名高校进行学习交流；密切联系产学合作企业，不断提升学生的职业素养和社会服务能力；拓展多种渠道，培养大学生创新创业精神；通过学分互认、暑期实践、学术讲座、创新活动计划、职业资格证书培训等，全面提升学生的</w:t>
      </w:r>
      <w:r>
        <w:rPr>
          <w:rFonts w:hint="eastAsia"/>
          <w:b/>
        </w:rPr>
        <w:t>“国际化、社会化、人文化”</w:t>
      </w:r>
      <w:r>
        <w:rPr>
          <w:rFonts w:hint="eastAsia"/>
        </w:rPr>
        <w:t>的综合素养培育。</w:t>
      </w:r>
    </w:p>
    <w:p>
      <w:pPr>
        <w:pStyle w:val="3"/>
        <w:adjustRightInd w:val="0"/>
        <w:snapToGrid w:val="0"/>
        <w:spacing w:before="0" w:after="0" w:line="360" w:lineRule="auto"/>
        <w:jc w:val="left"/>
        <w:rPr>
          <w:rFonts w:ascii="宋体" w:hAnsi="宋体"/>
          <w:sz w:val="28"/>
          <w:szCs w:val="28"/>
        </w:rPr>
      </w:pPr>
      <w:bookmarkStart w:id="99" w:name="_Toc160210551"/>
      <w:r>
        <w:rPr>
          <w:rFonts w:ascii="宋体" w:hAnsi="宋体"/>
          <w:sz w:val="28"/>
          <w:szCs w:val="28"/>
        </w:rPr>
        <w:t>9.问题与对策</w:t>
      </w:r>
      <w:bookmarkEnd w:id="99"/>
    </w:p>
    <w:p>
      <w:pPr>
        <w:pStyle w:val="4"/>
        <w:adjustRightInd w:val="0"/>
        <w:snapToGrid w:val="0"/>
        <w:spacing w:before="0" w:after="0" w:line="360" w:lineRule="auto"/>
        <w:rPr>
          <w:rFonts w:ascii="宋体" w:hAnsi="宋体" w:eastAsia="宋体" w:cs="Times New Roman"/>
          <w:sz w:val="24"/>
          <w:szCs w:val="24"/>
        </w:rPr>
      </w:pPr>
      <w:bookmarkStart w:id="100" w:name="_Toc103451985"/>
      <w:bookmarkStart w:id="101" w:name="_Toc160210552"/>
      <w:r>
        <w:rPr>
          <w:rFonts w:hint="eastAsia" w:ascii="宋体" w:hAnsi="宋体" w:eastAsia="宋体" w:cs="Times New Roman"/>
          <w:sz w:val="24"/>
          <w:szCs w:val="24"/>
        </w:rPr>
        <w:t>9.1</w:t>
      </w:r>
      <w:r>
        <w:rPr>
          <w:rFonts w:ascii="宋体" w:hAnsi="宋体" w:eastAsia="宋体" w:cs="Times New Roman"/>
          <w:sz w:val="24"/>
          <w:szCs w:val="24"/>
        </w:rPr>
        <w:t>专业发展中存在的不足与问题</w:t>
      </w:r>
      <w:bookmarkEnd w:id="100"/>
      <w:bookmarkEnd w:id="101"/>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师资团队的国际化建设需要进一步加强</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由于我校人力资源管理专业设置时间较短，目前人力资源管理团队整体仍以中青年教师为主，一方面，他们有着博士、硕士学历，理论基础相对扎实，在人力资源测评、薪酬管理等方面已经初步具备了一定的专业基础，能够瞄准学科发展前沿开展研究，教学理念先进，教学方法也灵活多变，深受学生好评。另一方面，他们自身普遍尚处在成长之中，学科研究的积淀尚不够深厚，在个人专业发展方面有待进一步的提升。同时，缺乏国内有较大影响的专家、教授等高水平领军人才。此外，近两年专业新进教师较少，年龄结构梯队需要优化。</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 xml:space="preserve">在专业师资国际化方面，人力资源管理专业团队目前也存在一些不足，尽管我们在双语教学、国际交流与合作方面取得的不小的进步，但是在国际师资或海外留学人员引进方面还需进一步加强，尤其需要引进既有国际视野又熟悉人力资源管理实践的专业人才。其次，现有教师的海外进修与国际交流途径与渠道要进一步拓展。需要加大现有教师与海内外高校的双向交流力度，更多的推动教师们走出校门走出国门,但是存在高校教师对于国际化的理解不全面的情况,但是他们仍具备较强的国际化参与意识和意愿;他们获取跨境国际化经历主要是出于职业竞争和晋升、文化理解和视野拓展、教学与科研等经济、社会／文化、学术方面的动因;他们的实践受到家庭、语言文化、知识和能力、行政体制等因素的制约；这些跨境国际化经历对他们的教学和科研产生影响,影响的方面和程度因教师个人具体情况而异；教师获取跨境国际化经历受到来自内部环境的优势、劣势和来自外部环境的机会、威胁的影响,要使教师的国际化经历同学术职业有效融合,需要教育部门、院校、高校教师个人在国际化意识、国际化投入和综合能力三方面共同努力。让高校教师在国际化的教育平台上更好的进行教学资源、教学经验的合作，谋求共同发展。 </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学生的自主创新能力培养需要进一步提升</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学生的自主创新能力一方面来源于外因——高校层面与社会层面：从高校层面来看，第一，创新课程设计较为单一是制约大学生创新能力提升的关键因素。现阶段，各高校针对大学生创新能力的培养以开设“大学生创新创业”与“大学生创业训练”课程为主，注重大学生创新能力的理论训练。并且，高校对于培养大学生师资力量的投入并不充足，调研国外比较优秀的创新创业型大学发现，其都汇集了一批优秀的学生团队，建立了一支整体水平较高的师资队伍，而我们在这方面是存在不足的；第二，学生自主创新能力也离不开教师的引导与帮助，要提升教师在创新方面的引导能力。</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另一方面来源于内因——学生的自主性学习。自主式学习是一种积极的学习过程，主要指的是学生在学习过程中自己探索问题的学习方式，这种学习方式不仅要求学生善于发现问题和提出问题，而且要培养学生一种动手能力，让学生在参与实践的过程中获取知识，培养能力，丰富情感，端正态度，特别是发展探索精神与创新能力。人力资源管理专业的学生在自主性学习方面仍有一定欠缺。比如，学生缺乏自主学习的动机、也缺乏自主学习能力的培训与指导。因此，要培养学生的创新能力，就要进一步加强对学生的自主学习教育。</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学科的知名度和引领性需要进一步培育</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当今世界，知识越来越成为提高综合国力和国际竞争力的决定性因素，人力资源越来越成为推动经济社会发展的战略性资源。人力资源管理学科的基础性、先导性、全局性地位和作用更加突出。我校人力资源管理专业经过15年的建设与发展，已形成了具有自身特色的教学体系和课程设置，但面对不断发展的产业需求和互联网+时代，在学科的知名度和引领性需要进一步培育。</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首先，人力资源管理专业学科本身存在一定的局限。在学科层面，.第一，人力资源的学科归类不科学。人力资源管理学科是以企业经营活动中与事有关的人力资源为研究对象，旨在促进企业持续发展的一切经营决策和实践活动为研究内容的一门学科。力资源管理学科的基础理论十分丰富，它是一门以心理学、管理学、社会学、人类学以及组织行为学和相关自然学科等为理论基础的交叉综合型学科。虽然人力资源管理学科是一门多学科融合的学科，但是在目前的学科归类中，人力资源管理学科被划分到企业管理的二级学科下面。第二，人力资源学科发展的理论基础不够丰富。目前，人力资源管理学科作为一个新兴学科在学术领域依然存在着边缘化的现象，传统学科依然掌握着学术领域的主导权。之所以会存在边缘化现象是源于人力资源管理是以实践为导向的研究成果，在学术界的影响力有限，在学术性杂志上发表也比较困难。人力资源管理学科领域的实证研究多以个案研究为主，研究者在拓宽研究领域上也较难超越，与此同时，很多学者把人力资源管理学科作为一门实践学科而不是应用型学科。第三，人力资源学科面临着资源分散的困境。当前人力资源管理专业分散在企业管理、工商管理、公共管理、商学以及经济和教育等院系中，他们并不能形成合力去培养专业的人力资源管理类专才。</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其次，在我校人力资源管理专业学科建设层面，必须立足服务上海及国家经济建设需要，借助校传统学科优势凸显专业特色，切实把人力资源管理学科建设成上海一流、国内有影响力的具有鲜明特色的本科专业。</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学科发展与时代同步性需要进一步加强。</w:t>
      </w:r>
    </w:p>
    <w:p>
      <w:pPr>
        <w:adjustRightInd w:val="0"/>
        <w:snapToGrid w:val="0"/>
        <w:spacing w:line="360" w:lineRule="auto"/>
        <w:ind w:firstLine="480" w:firstLineChars="200"/>
      </w:pPr>
      <w:bookmarkStart w:id="102" w:name="_Toc103451986"/>
      <w:bookmarkStart w:id="103" w:name="_Toc435176256"/>
      <w:r>
        <w:rPr>
          <w:rFonts w:hint="eastAsia"/>
        </w:rPr>
        <w:t>随着我国老龄化不断加剧，就业人口和社会保障发生很大变化，需要加强其人力资源管理的关注；随着平台经济的发展，灵活就业群体规模不断增加，需要加强其人力资源的关注；随着数字经济的快速发展， 对人力资源管理专业的发展提出数字化的要求；随着Z时代成为企事业单位的就业主力，其独特的性格和时代特征，呼唤更符合其特征和需求的人力资源管理，这方面我们亟需加强，需要我们凝练特色，并与时代同步。</w:t>
      </w:r>
    </w:p>
    <w:p>
      <w:pPr>
        <w:adjustRightInd w:val="0"/>
        <w:snapToGrid w:val="0"/>
        <w:spacing w:line="360" w:lineRule="auto"/>
        <w:ind w:firstLine="480" w:firstLineChars="200"/>
      </w:pPr>
      <w:r>
        <w:rPr>
          <w:rFonts w:hint="eastAsia"/>
        </w:rPr>
        <w:t>除了与社会时代同步，还应当向外扩展，加强跨文化沟通管理。通过营造国际化的校园文化和宽松的学术氛围、搭建跨文化交流平台、实现校内公共资源共享、增强对团队外籍教师的人文关怀等，形成有利于跨文化沟通的软环境，增强团队外籍教师的融入感、责任感和归属感。高校还应注重培养教师的跨文化意识，提升管理人员和教师的跨文化沟通能力，培养学生的多元文化视角。在教学团队内部，中外教师应围绕教学任务和目标进行知识共享，共同开展教学教改工作，形成合作、开放、共享的团队文化氛围和团队精神。</w:t>
      </w:r>
    </w:p>
    <w:p>
      <w:pPr>
        <w:pStyle w:val="4"/>
        <w:adjustRightInd w:val="0"/>
        <w:snapToGrid w:val="0"/>
        <w:spacing w:before="0" w:after="0" w:line="360" w:lineRule="auto"/>
        <w:rPr>
          <w:rFonts w:ascii="宋体" w:hAnsi="宋体" w:eastAsia="宋体" w:cs="Times New Roman"/>
          <w:sz w:val="24"/>
          <w:szCs w:val="24"/>
        </w:rPr>
      </w:pPr>
      <w:bookmarkStart w:id="104" w:name="_Toc160210553"/>
      <w:r>
        <w:rPr>
          <w:rFonts w:hint="eastAsia" w:ascii="宋体" w:hAnsi="宋体" w:eastAsia="宋体" w:cs="Times New Roman"/>
          <w:sz w:val="24"/>
          <w:szCs w:val="24"/>
        </w:rPr>
        <w:t>9.2</w:t>
      </w:r>
      <w:r>
        <w:rPr>
          <w:rFonts w:ascii="宋体" w:hAnsi="宋体" w:eastAsia="宋体" w:cs="Times New Roman"/>
          <w:sz w:val="24"/>
          <w:szCs w:val="24"/>
        </w:rPr>
        <w:t>采取的对策及改进措施</w:t>
      </w:r>
      <w:bookmarkEnd w:id="102"/>
      <w:bookmarkEnd w:id="103"/>
      <w:bookmarkEnd w:id="104"/>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拓宽专业教师的国际化视野，完善教师人才队伍建设</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师资队伍国际化是世界一流大学的共同特征，坚持引育并重，是推进师资队伍国际化建设的必由之路。一方面，通过多种渠道，引进一批具有国际视野、通晓国际规则、参与国际合作的优秀教师与专业带头人；另一方面加强对现有中青年教师的培养力度，提供更多海外合作与进修的机会，拓展教师的国际视野、提升教师的国际化意识。</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在师资队伍建设方面，我们计划从以下几个方面稳步推进：</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一是：完善教师队伍结构。其中，在学历结构上，未来三年内，专业教师的博士学历要达到100%；在年龄结构上，中青年教师的比例要实现1：1；在专业结构上，要满足学科均衡发展的需要；在职称结构上，要有学科年龄梯队，考虑新进2名青年优秀博士教师。</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二是：强化师风师德建设。加强师德建设是教师队伍建设的永恒主题，提升教师自身素养，规范教师职业行为，逐步建立将师德建设与教师奖惩、评优与绩效相结合的管理体制。</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三是：创新科研与教学的互动机制，推动教师队伍的专业化发展。在未来的专业建设与发展过程中，要鼓励教师参与各类科研创新活动，尤其是教育科研活动，将教学工作中的问题专题化、课题化，增强教学工作的研究性、目的性，对一些有关专业发展的重大课题可由教授或副教授带头组建科研团队进行集体攻关。实现科研与教学的相辅相成，不仅可以提高教师的科研能力、也可提高教师的教学水平，从而加快教师的专业化成长。</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四是：创新国际化教学团队的管理机制。通过建立柔性引才机制，改革人事管理制度，完善国际化课程体系和人才培养机制，营造国际化的教学管理和科研环境，推动高校教育与国际接轨；建立教学团队的教学质量监督体系和学生评教制度，加强统筹协同机制，鼓励学科体系跨专业、跨学院组建教学团队；制定科学合理的绩效指标，实施有效的绩效考评制度；改革考核评估体系，将团队教师的薪酬分配、职称晋升与其团队业绩挂钩；引进竞争机制和激励政策，实施“优课优酬”;为外籍教师做好服务保障，加强软环境建设，使其能够“引进来，留得住，用得好”。</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加强重点课程建设，深化教学模式改革</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课程建设是专业建设的基础，是实现专业目标的重要手段，加强课程建设是高等教育适应社会对人才需求的必然选择。一方面，现代科学技术的发展要求高校要拓宽专业面，培养文理渗透、理工交融的复合型人才；另一方面，随着专业知识的不断深化与更新，专业特征越发显著。因而，推动专业建设、提高专业层次，离不开优化专业课程设置、加大重点课程建设。人力资源管理专业需要在《组织行为学》、《国际人力资源管理》等重点课程建设的基础上，聚焦专业发展目标，进一步整合现有专业资源，选择一批基础好、地位重要，能够体现专业特色的课程（如：绩效管理、人力资源管理、人力资源测评等）加以重点建设。</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在教学模式改革方面，未来的教学模式发展将会从单一模式转向多元选择；从被动接受转向主动参与；从学校取向走向社会取向；从个体学习转向团队分享；从知识传递转向实践参与；从教师为中心转向学生为中心。人力资源专业是一个实践性非常强的应用性学科，需积极探索各类适应市场需求与专业发展的教学模式，尤其需要在行动学习、基于项目的学习、情境学习以及翻转课堂等方面进行大胆尝试。</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要促进教学与科研互动，把握本领域国际学术前沿和学科发展动态，将新的科技和学科资源融入教学资源，有益于学生开拓视野，培养科研兴趣，提升创新能力。鼓励教师“走出去”,赴国外进修、参加国际学术交流等，提升团队的专业水平和教学科研能力。以科研促教学，是当前高等教育改革的趋势，也有助于进一步推动科学研究。目前，一些高校推进科研基地向本科生开放，实行本科生导师制度等，正是高校为提高人才培养质量，将教学与科研相融合的创新模式。</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拓展渠道提高学生的创新创业能力</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在专业设置上要突出管理学、经济学、行为科学这三条主线，多层次对人力资源管理学科进行设置。在课程设置上要注意专业技能的训练，并着重提升实践教学效果，强化人文课程，重视对学生的人力资源管理相关理念的塑造的同时，要拓展渠道提高学生的新创业能力。</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创新是一个民族进步的灵魂，是国家兴旺发达的不竭动力。21世纪是创新的世纪，需要大批的创新人才。高校应该成为创新人才培养的重要基地，而创新能力和创新精神又是创新人才培养的关键，因而，新一代大学生不仅要有扎实的理论知识学习，而且要有创新性思维。为了实现这一目标，人力资源专业在今后发展过程中，需要打开思路、拓展渠道、整合资源、开放办学，为学生创造更多的学习、创新与实践的机会。我校应当首先转变自身的教育理念，加大资金投入，建立专业化教师团队，通过聘请各行各业的社会优秀人才向高校学生传授丰富的创业实践经验，从而实现教师和高校教育的社会化，以更加积极的态度培养学生切合实际的创新创业意识，以此帮助学生适应移动互联网时代的社会生产活动，以更先进的发展思路推动社会进步。</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此外，我们应当积极利用互联网思维来进行创新创业课程的设置。紧紧抓住互联网机遇，充分厘清创新创业课程思路，将互联网理念融入课程体系建设中并丰富课程内容设置。同时，高校应通过互联网技术开发并融合网上教育教学资源与专业课堂教学，在整合优秀教育教学资源的基础上形成线上、线下教学资源的互通，从而加强高校创业课程体系建设，引导大学生通过专业学科的创新创业学习，增强自身的创业意识。</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不仅如此，我们还应注重利用互联网技术提高学生创新创业的实践能力。互联网时代下的创新创业教育针对的是学生实践能力的培养，只有将所学知识与社会实践紧密结合，才能使学生得到真正锻炼。要尽力引导大学生在实践中不断探索，才能真正掌握符合新时代要求的能力素质，才能切实提高当代大学生的创新创业能力。</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优化资源配置，聚焦学科研究重点</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要多角度对人力资源管理科学进行定位，将人力资源管理学科片面地定位为以理论教学为主或者实践教学为主显然都是不符合市场对人力资源专业人才的需求的，我们要尽力多角度地寻求对人力资源管理学科的定位。基于人力资源学科的特殊性，应当要把理论教学与实践教学相结合，以理论教育为主，实践教学为辅，这样既可以增强学生的专业知识，同时又可以培养学生的实践动手能力，这是未来学科努力的方向。同时要按照“跟踪前沿学术，结合上海市情，研究实际问题”的方针，聚焦学科前沿和人力资源管理实践中的重点、热点和难点问题，坚持以创新为导向，优化资源配置，进行密集型的持续攻关研究，以求取得重点突破，形成系列性的研究成果。为此人力资源管理专业在未来发展过程中拟定如下重点研究方向：</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1)</w:t>
      </w:r>
      <w:r>
        <w:rPr>
          <w:rFonts w:hint="eastAsia" w:ascii="宋体" w:hAnsi="宋体" w:eastAsia="宋体"/>
          <w:b w:val="0"/>
          <w:sz w:val="24"/>
          <w:szCs w:val="24"/>
        </w:rPr>
        <w:tab/>
      </w:r>
      <w:r>
        <w:rPr>
          <w:rFonts w:hint="eastAsia" w:ascii="宋体" w:hAnsi="宋体" w:eastAsia="宋体"/>
          <w:b w:val="0"/>
          <w:sz w:val="24"/>
          <w:szCs w:val="24"/>
        </w:rPr>
        <w:t>人力资源测评和甄选；</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2)</w:t>
      </w:r>
      <w:r>
        <w:rPr>
          <w:rFonts w:hint="eastAsia" w:ascii="宋体" w:hAnsi="宋体" w:eastAsia="宋体"/>
          <w:b w:val="0"/>
          <w:sz w:val="24"/>
          <w:szCs w:val="24"/>
        </w:rPr>
        <w:tab/>
      </w:r>
      <w:r>
        <w:rPr>
          <w:rFonts w:hint="eastAsia" w:ascii="宋体" w:hAnsi="宋体" w:eastAsia="宋体"/>
          <w:b w:val="0"/>
          <w:sz w:val="24"/>
          <w:szCs w:val="24"/>
        </w:rPr>
        <w:t>职业生涯规划与指导；</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3)</w:t>
      </w:r>
      <w:r>
        <w:rPr>
          <w:rFonts w:hint="eastAsia" w:ascii="宋体" w:hAnsi="宋体" w:eastAsia="宋体"/>
          <w:b w:val="0"/>
          <w:sz w:val="24"/>
          <w:szCs w:val="24"/>
        </w:rPr>
        <w:tab/>
      </w:r>
      <w:r>
        <w:rPr>
          <w:rFonts w:hint="eastAsia" w:ascii="宋体" w:hAnsi="宋体" w:eastAsia="宋体"/>
          <w:b w:val="0"/>
          <w:sz w:val="24"/>
          <w:szCs w:val="24"/>
        </w:rPr>
        <w:t>薪酬管理和激励制度；</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4)</w:t>
      </w:r>
      <w:r>
        <w:rPr>
          <w:rFonts w:hint="eastAsia" w:ascii="宋体" w:hAnsi="宋体" w:eastAsia="宋体"/>
          <w:b w:val="0"/>
          <w:sz w:val="24"/>
          <w:szCs w:val="24"/>
        </w:rPr>
        <w:tab/>
      </w:r>
      <w:r>
        <w:rPr>
          <w:rFonts w:hint="eastAsia" w:ascii="宋体" w:hAnsi="宋体" w:eastAsia="宋体"/>
          <w:b w:val="0"/>
          <w:sz w:val="24"/>
          <w:szCs w:val="24"/>
        </w:rPr>
        <w:t>绩效管理和员工满意度研究；</w:t>
      </w:r>
    </w:p>
    <w:p>
      <w:pPr>
        <w:pStyle w:val="41"/>
        <w:adjustRightInd w:val="0"/>
        <w:snapToGrid w:val="0"/>
        <w:ind w:firstLine="480"/>
        <w:rPr>
          <w:rFonts w:ascii="宋体" w:hAnsi="宋体" w:eastAsia="宋体"/>
          <w:b w:val="0"/>
          <w:sz w:val="24"/>
          <w:szCs w:val="24"/>
        </w:rPr>
      </w:pPr>
      <w:r>
        <w:rPr>
          <w:rFonts w:hint="eastAsia" w:ascii="宋体" w:hAnsi="宋体" w:eastAsia="宋体"/>
          <w:b w:val="0"/>
          <w:sz w:val="24"/>
          <w:szCs w:val="24"/>
        </w:rPr>
        <w:t>5)</w:t>
      </w:r>
      <w:r>
        <w:rPr>
          <w:rFonts w:hint="eastAsia" w:ascii="宋体" w:hAnsi="宋体" w:eastAsia="宋体"/>
          <w:b w:val="0"/>
          <w:sz w:val="24"/>
          <w:szCs w:val="24"/>
        </w:rPr>
        <w:tab/>
      </w:r>
      <w:r>
        <w:rPr>
          <w:rFonts w:hint="eastAsia" w:ascii="宋体" w:hAnsi="宋体" w:eastAsia="宋体"/>
          <w:b w:val="0"/>
          <w:sz w:val="24"/>
          <w:szCs w:val="24"/>
        </w:rPr>
        <w:t>特色行业人力资源实务研究。</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与时俱进，拓展学科方向和凝聚特色</w:t>
      </w:r>
    </w:p>
    <w:p>
      <w:pPr>
        <w:adjustRightInd w:val="0"/>
        <w:snapToGrid w:val="0"/>
        <w:spacing w:line="360" w:lineRule="auto"/>
        <w:ind w:firstLine="480" w:firstLineChars="200"/>
      </w:pPr>
      <w:r>
        <w:rPr>
          <w:rFonts w:hint="eastAsia"/>
        </w:rPr>
        <w:t>为了适应人口老龄化时代人力资源管理的需要，可以考虑将社会保障课程融入人力资源管理课程体系，并在教学中融入社会保障相关知识；为了适应数字经济的发展要求，应将数字经济相关课程融入到人力资源课程体系，在课程中融入数字经济相关知识，并形成专业特色；为了适应灵活就业群体和柔性用工群体的规模不断扩大，在学科建设过程中可以考虑对这部分进行加强；为了适应Z时代独特的性格和时代特征，课程设置方面可以针对性的设置相关模块，并进行针对性的实习实践训练，使人力资源管理专业的发展与时俱进，而且特色鲜明。</w:t>
      </w:r>
    </w:p>
    <w:p>
      <w:pPr>
        <w:pStyle w:val="41"/>
        <w:adjustRightInd w:val="0"/>
        <w:snapToGrid w:val="0"/>
        <w:ind w:firstLine="482"/>
        <w:rPr>
          <w:rFonts w:ascii="宋体" w:hAnsi="宋体" w:eastAsia="宋体"/>
          <w:color w:val="000000" w:themeColor="text1"/>
          <w:sz w:val="24"/>
          <w:szCs w:val="24"/>
          <w14:textFill>
            <w14:solidFill>
              <w14:schemeClr w14:val="tx1"/>
            </w14:solidFill>
          </w14:textFill>
        </w:rPr>
      </w:pPr>
    </w:p>
    <w:p>
      <w:pPr>
        <w:pStyle w:val="41"/>
        <w:adjustRightInd w:val="0"/>
        <w:snapToGrid w:val="0"/>
        <w:ind w:firstLine="482"/>
        <w:rPr>
          <w:rFonts w:ascii="宋体" w:hAnsi="宋体" w:eastAsia="宋体"/>
          <w:sz w:val="24"/>
          <w:szCs w:val="24"/>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Noto Sans Mono CJK JP Regular">
    <w:altName w:val="Segoe Print"/>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232EC"/>
    <w:rsid w:val="00024F3D"/>
    <w:rsid w:val="00033F36"/>
    <w:rsid w:val="000376E8"/>
    <w:rsid w:val="000827A3"/>
    <w:rsid w:val="00092B09"/>
    <w:rsid w:val="000A3504"/>
    <w:rsid w:val="000A35C6"/>
    <w:rsid w:val="000A4A8E"/>
    <w:rsid w:val="000A6EA2"/>
    <w:rsid w:val="000B2965"/>
    <w:rsid w:val="000C27E8"/>
    <w:rsid w:val="000C5096"/>
    <w:rsid w:val="000D257F"/>
    <w:rsid w:val="000E0BD0"/>
    <w:rsid w:val="000E14E9"/>
    <w:rsid w:val="000E6FA3"/>
    <w:rsid w:val="00101B9B"/>
    <w:rsid w:val="001177EB"/>
    <w:rsid w:val="00122783"/>
    <w:rsid w:val="001233E1"/>
    <w:rsid w:val="0014024E"/>
    <w:rsid w:val="00141505"/>
    <w:rsid w:val="001535F0"/>
    <w:rsid w:val="00155F05"/>
    <w:rsid w:val="00156644"/>
    <w:rsid w:val="00164DCB"/>
    <w:rsid w:val="00165054"/>
    <w:rsid w:val="0016612F"/>
    <w:rsid w:val="00176907"/>
    <w:rsid w:val="00191D7C"/>
    <w:rsid w:val="00191EEA"/>
    <w:rsid w:val="00193556"/>
    <w:rsid w:val="001944A0"/>
    <w:rsid w:val="001D0AE5"/>
    <w:rsid w:val="001D2E93"/>
    <w:rsid w:val="001D477E"/>
    <w:rsid w:val="001D66EF"/>
    <w:rsid w:val="001F0C9C"/>
    <w:rsid w:val="001F1060"/>
    <w:rsid w:val="002005D2"/>
    <w:rsid w:val="002123E7"/>
    <w:rsid w:val="00216B9E"/>
    <w:rsid w:val="00222431"/>
    <w:rsid w:val="00225EF1"/>
    <w:rsid w:val="00242E0B"/>
    <w:rsid w:val="00247520"/>
    <w:rsid w:val="0026015C"/>
    <w:rsid w:val="00262AA2"/>
    <w:rsid w:val="00263B5B"/>
    <w:rsid w:val="002744C9"/>
    <w:rsid w:val="002814D0"/>
    <w:rsid w:val="002A4CDF"/>
    <w:rsid w:val="002C1633"/>
    <w:rsid w:val="002D2440"/>
    <w:rsid w:val="002D58B9"/>
    <w:rsid w:val="002F4257"/>
    <w:rsid w:val="00311EE9"/>
    <w:rsid w:val="00337A06"/>
    <w:rsid w:val="00345529"/>
    <w:rsid w:val="00356E3E"/>
    <w:rsid w:val="00360200"/>
    <w:rsid w:val="00370486"/>
    <w:rsid w:val="0037253D"/>
    <w:rsid w:val="00380297"/>
    <w:rsid w:val="00383CB3"/>
    <w:rsid w:val="003A5DC9"/>
    <w:rsid w:val="003B41E7"/>
    <w:rsid w:val="003B5743"/>
    <w:rsid w:val="003B5821"/>
    <w:rsid w:val="003B7BD5"/>
    <w:rsid w:val="003D2D19"/>
    <w:rsid w:val="003D4237"/>
    <w:rsid w:val="003E3C59"/>
    <w:rsid w:val="003E684A"/>
    <w:rsid w:val="003F7065"/>
    <w:rsid w:val="00400D8F"/>
    <w:rsid w:val="00420940"/>
    <w:rsid w:val="0043005D"/>
    <w:rsid w:val="004809CF"/>
    <w:rsid w:val="00485557"/>
    <w:rsid w:val="00491B23"/>
    <w:rsid w:val="0049281E"/>
    <w:rsid w:val="00492D16"/>
    <w:rsid w:val="00496138"/>
    <w:rsid w:val="004A29AB"/>
    <w:rsid w:val="004C4E32"/>
    <w:rsid w:val="004C5078"/>
    <w:rsid w:val="004D3393"/>
    <w:rsid w:val="004E0F5A"/>
    <w:rsid w:val="004E18DE"/>
    <w:rsid w:val="004F79E5"/>
    <w:rsid w:val="0051649A"/>
    <w:rsid w:val="00523BCB"/>
    <w:rsid w:val="0054186C"/>
    <w:rsid w:val="0056694D"/>
    <w:rsid w:val="00570239"/>
    <w:rsid w:val="00593938"/>
    <w:rsid w:val="005968C6"/>
    <w:rsid w:val="005A3EA8"/>
    <w:rsid w:val="005B2A88"/>
    <w:rsid w:val="005B4C86"/>
    <w:rsid w:val="005C4D52"/>
    <w:rsid w:val="005E4610"/>
    <w:rsid w:val="005F1976"/>
    <w:rsid w:val="00605D42"/>
    <w:rsid w:val="00612D64"/>
    <w:rsid w:val="00616016"/>
    <w:rsid w:val="00636637"/>
    <w:rsid w:val="006366C5"/>
    <w:rsid w:val="00644138"/>
    <w:rsid w:val="00652457"/>
    <w:rsid w:val="00652619"/>
    <w:rsid w:val="00662EA1"/>
    <w:rsid w:val="00663B33"/>
    <w:rsid w:val="0067425A"/>
    <w:rsid w:val="006C29DB"/>
    <w:rsid w:val="006D2046"/>
    <w:rsid w:val="006D6CB8"/>
    <w:rsid w:val="006F1096"/>
    <w:rsid w:val="006F2285"/>
    <w:rsid w:val="0071499E"/>
    <w:rsid w:val="007165BA"/>
    <w:rsid w:val="00717B20"/>
    <w:rsid w:val="00727DD0"/>
    <w:rsid w:val="00730C50"/>
    <w:rsid w:val="007549AC"/>
    <w:rsid w:val="0075762C"/>
    <w:rsid w:val="00763D10"/>
    <w:rsid w:val="0077767B"/>
    <w:rsid w:val="0078195A"/>
    <w:rsid w:val="007849F0"/>
    <w:rsid w:val="0079395C"/>
    <w:rsid w:val="00793EE7"/>
    <w:rsid w:val="007A53B2"/>
    <w:rsid w:val="007A5545"/>
    <w:rsid w:val="007C5E14"/>
    <w:rsid w:val="007E3FE5"/>
    <w:rsid w:val="007E49C2"/>
    <w:rsid w:val="007F2627"/>
    <w:rsid w:val="008022D4"/>
    <w:rsid w:val="00804EBD"/>
    <w:rsid w:val="00816350"/>
    <w:rsid w:val="00836A73"/>
    <w:rsid w:val="00840DC7"/>
    <w:rsid w:val="00846D1D"/>
    <w:rsid w:val="008471D9"/>
    <w:rsid w:val="00850140"/>
    <w:rsid w:val="00875756"/>
    <w:rsid w:val="00877FB8"/>
    <w:rsid w:val="00884201"/>
    <w:rsid w:val="00884A2C"/>
    <w:rsid w:val="008937E0"/>
    <w:rsid w:val="00893D59"/>
    <w:rsid w:val="008B18D6"/>
    <w:rsid w:val="008B480E"/>
    <w:rsid w:val="008B679B"/>
    <w:rsid w:val="008B6A32"/>
    <w:rsid w:val="008B6FBC"/>
    <w:rsid w:val="008C0C62"/>
    <w:rsid w:val="008E01F5"/>
    <w:rsid w:val="008E316C"/>
    <w:rsid w:val="008E4B45"/>
    <w:rsid w:val="008F1E13"/>
    <w:rsid w:val="00902E1E"/>
    <w:rsid w:val="009072BA"/>
    <w:rsid w:val="009158E1"/>
    <w:rsid w:val="00916339"/>
    <w:rsid w:val="00925B49"/>
    <w:rsid w:val="00935969"/>
    <w:rsid w:val="00950124"/>
    <w:rsid w:val="00972916"/>
    <w:rsid w:val="009805AF"/>
    <w:rsid w:val="00984D63"/>
    <w:rsid w:val="0098510E"/>
    <w:rsid w:val="00987D7D"/>
    <w:rsid w:val="00990C06"/>
    <w:rsid w:val="0099467E"/>
    <w:rsid w:val="00994D35"/>
    <w:rsid w:val="009B1C45"/>
    <w:rsid w:val="009B2767"/>
    <w:rsid w:val="009F06FE"/>
    <w:rsid w:val="009F5984"/>
    <w:rsid w:val="00A1654B"/>
    <w:rsid w:val="00A30E1C"/>
    <w:rsid w:val="00A42A25"/>
    <w:rsid w:val="00A45D48"/>
    <w:rsid w:val="00A47CAE"/>
    <w:rsid w:val="00A63DAB"/>
    <w:rsid w:val="00A67438"/>
    <w:rsid w:val="00A9217F"/>
    <w:rsid w:val="00AB48FE"/>
    <w:rsid w:val="00AC0E51"/>
    <w:rsid w:val="00AC5372"/>
    <w:rsid w:val="00AC76A2"/>
    <w:rsid w:val="00AD593B"/>
    <w:rsid w:val="00B248C0"/>
    <w:rsid w:val="00B324EB"/>
    <w:rsid w:val="00B35DB9"/>
    <w:rsid w:val="00B572EB"/>
    <w:rsid w:val="00B7496E"/>
    <w:rsid w:val="00BB6DB2"/>
    <w:rsid w:val="00BC0805"/>
    <w:rsid w:val="00BD2922"/>
    <w:rsid w:val="00BF21C6"/>
    <w:rsid w:val="00C0158E"/>
    <w:rsid w:val="00C11D1F"/>
    <w:rsid w:val="00C13054"/>
    <w:rsid w:val="00C206D1"/>
    <w:rsid w:val="00C20FA2"/>
    <w:rsid w:val="00C4403F"/>
    <w:rsid w:val="00C544B0"/>
    <w:rsid w:val="00C56CD4"/>
    <w:rsid w:val="00C867E7"/>
    <w:rsid w:val="00C91990"/>
    <w:rsid w:val="00CF36EB"/>
    <w:rsid w:val="00D008F8"/>
    <w:rsid w:val="00D064A3"/>
    <w:rsid w:val="00D119DB"/>
    <w:rsid w:val="00D13A6E"/>
    <w:rsid w:val="00D17265"/>
    <w:rsid w:val="00D22D48"/>
    <w:rsid w:val="00D444F5"/>
    <w:rsid w:val="00D45F03"/>
    <w:rsid w:val="00D47C1A"/>
    <w:rsid w:val="00D5367E"/>
    <w:rsid w:val="00D551A7"/>
    <w:rsid w:val="00D61292"/>
    <w:rsid w:val="00D61529"/>
    <w:rsid w:val="00D64B3E"/>
    <w:rsid w:val="00D831AC"/>
    <w:rsid w:val="00D87D01"/>
    <w:rsid w:val="00D93A2F"/>
    <w:rsid w:val="00D96714"/>
    <w:rsid w:val="00DA7182"/>
    <w:rsid w:val="00DB382C"/>
    <w:rsid w:val="00DB3BB4"/>
    <w:rsid w:val="00DC170B"/>
    <w:rsid w:val="00DC1748"/>
    <w:rsid w:val="00DC5350"/>
    <w:rsid w:val="00DD2810"/>
    <w:rsid w:val="00DD5AA7"/>
    <w:rsid w:val="00DD69ED"/>
    <w:rsid w:val="00E12321"/>
    <w:rsid w:val="00E138B4"/>
    <w:rsid w:val="00E14BF1"/>
    <w:rsid w:val="00E150F8"/>
    <w:rsid w:val="00E20368"/>
    <w:rsid w:val="00E25E1F"/>
    <w:rsid w:val="00E30105"/>
    <w:rsid w:val="00E51511"/>
    <w:rsid w:val="00E61680"/>
    <w:rsid w:val="00EE2B30"/>
    <w:rsid w:val="00EE64EC"/>
    <w:rsid w:val="00EE7547"/>
    <w:rsid w:val="00EF006A"/>
    <w:rsid w:val="00EF305C"/>
    <w:rsid w:val="00F00695"/>
    <w:rsid w:val="00F01231"/>
    <w:rsid w:val="00F05ECC"/>
    <w:rsid w:val="00F15D65"/>
    <w:rsid w:val="00F34C8E"/>
    <w:rsid w:val="00F37BB6"/>
    <w:rsid w:val="00F4457B"/>
    <w:rsid w:val="00F57C6E"/>
    <w:rsid w:val="00F66E0A"/>
    <w:rsid w:val="00F9243E"/>
    <w:rsid w:val="00F949BE"/>
    <w:rsid w:val="00FA30CC"/>
    <w:rsid w:val="00FD25C8"/>
    <w:rsid w:val="00FE323B"/>
    <w:rsid w:val="01CC1A40"/>
    <w:rsid w:val="02201D8C"/>
    <w:rsid w:val="03A32C74"/>
    <w:rsid w:val="05DD7F8E"/>
    <w:rsid w:val="077C5CB6"/>
    <w:rsid w:val="0B820819"/>
    <w:rsid w:val="0F582B65"/>
    <w:rsid w:val="12371157"/>
    <w:rsid w:val="24C73138"/>
    <w:rsid w:val="26DC3C24"/>
    <w:rsid w:val="27DF1C1D"/>
    <w:rsid w:val="29AB6B74"/>
    <w:rsid w:val="2FE36023"/>
    <w:rsid w:val="42ED2FE9"/>
    <w:rsid w:val="44690FC2"/>
    <w:rsid w:val="4959108F"/>
    <w:rsid w:val="4AF75521"/>
    <w:rsid w:val="4FA3633E"/>
    <w:rsid w:val="53037A15"/>
    <w:rsid w:val="5B5B3832"/>
    <w:rsid w:val="5DA91583"/>
    <w:rsid w:val="5F702B80"/>
    <w:rsid w:val="64794284"/>
    <w:rsid w:val="64CC6AAA"/>
    <w:rsid w:val="6DFD1A82"/>
    <w:rsid w:val="72D82ABE"/>
    <w:rsid w:val="75022465"/>
    <w:rsid w:val="7552152F"/>
    <w:rsid w:val="7E4E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33"/>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34"/>
    <w:autoRedefine/>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autoRedefine/>
    <w:unhideWhenUsed/>
    <w:qFormat/>
    <w:uiPriority w:val="9"/>
    <w:pPr>
      <w:keepNext/>
      <w:keepLines/>
      <w:spacing w:before="280" w:after="290" w:line="376" w:lineRule="auto"/>
      <w:outlineLvl w:val="4"/>
    </w:pPr>
    <w:rPr>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6"/>
    <w:semiHidden/>
    <w:unhideWhenUsed/>
    <w:qFormat/>
    <w:uiPriority w:val="99"/>
  </w:style>
  <w:style w:type="paragraph" w:styleId="8">
    <w:name w:val="Body Text"/>
    <w:basedOn w:val="1"/>
    <w:link w:val="27"/>
    <w:autoRedefine/>
    <w:semiHidden/>
    <w:unhideWhenUsed/>
    <w:qFormat/>
    <w:uiPriority w:val="99"/>
    <w:pPr>
      <w:spacing w:before="100" w:beforeAutospacing="1" w:after="100" w:afterAutospacing="1"/>
    </w:pPr>
  </w:style>
  <w:style w:type="paragraph" w:styleId="9">
    <w:name w:val="toc 3"/>
    <w:basedOn w:val="1"/>
    <w:next w:val="1"/>
    <w:unhideWhenUsed/>
    <w:qFormat/>
    <w:uiPriority w:val="39"/>
    <w:pPr>
      <w:tabs>
        <w:tab w:val="right" w:leader="dot" w:pos="8296"/>
      </w:tabs>
      <w:spacing w:line="360" w:lineRule="auto"/>
      <w:ind w:left="960" w:leftChars="400"/>
    </w:pPr>
  </w:style>
  <w:style w:type="paragraph" w:styleId="10">
    <w:name w:val="Date"/>
    <w:basedOn w:val="1"/>
    <w:next w:val="1"/>
    <w:link w:val="30"/>
    <w:autoRedefine/>
    <w:semiHidden/>
    <w:unhideWhenUsed/>
    <w:qFormat/>
    <w:uiPriority w:val="99"/>
    <w:pPr>
      <w:ind w:left="100" w:leftChars="2500"/>
    </w:pPr>
  </w:style>
  <w:style w:type="paragraph" w:styleId="11">
    <w:name w:val="endnote text"/>
    <w:basedOn w:val="1"/>
    <w:link w:val="38"/>
    <w:autoRedefine/>
    <w:semiHidden/>
    <w:unhideWhenUsed/>
    <w:qFormat/>
    <w:uiPriority w:val="99"/>
    <w:pPr>
      <w:snapToGrid w:val="0"/>
    </w:pPr>
  </w:style>
  <w:style w:type="paragraph" w:styleId="12">
    <w:name w:val="Balloon Text"/>
    <w:basedOn w:val="1"/>
    <w:link w:val="46"/>
    <w:autoRedefine/>
    <w:unhideWhenUsed/>
    <w:qFormat/>
    <w:uiPriority w:val="99"/>
    <w:rPr>
      <w:sz w:val="18"/>
      <w:szCs w:val="18"/>
      <w:lang w:val="en-GB"/>
    </w:rPr>
  </w:style>
  <w:style w:type="paragraph" w:styleId="13">
    <w:name w:val="footer"/>
    <w:basedOn w:val="1"/>
    <w:link w:val="40"/>
    <w:autoRedefine/>
    <w:unhideWhenUsed/>
    <w:qFormat/>
    <w:uiPriority w:val="99"/>
    <w:pPr>
      <w:tabs>
        <w:tab w:val="center" w:pos="4153"/>
        <w:tab w:val="right" w:pos="8306"/>
      </w:tabs>
      <w:snapToGrid w:val="0"/>
    </w:pPr>
    <w:rPr>
      <w:sz w:val="18"/>
      <w:szCs w:val="18"/>
    </w:rPr>
  </w:style>
  <w:style w:type="paragraph" w:styleId="14">
    <w:name w:val="header"/>
    <w:basedOn w:val="1"/>
    <w:link w:val="39"/>
    <w:unhideWhenUsed/>
    <w:uiPriority w:val="99"/>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ind w:left="420" w:leftChars="200"/>
    </w:pPr>
  </w:style>
  <w:style w:type="paragraph" w:styleId="17">
    <w:name w:val="Normal (Web)"/>
    <w:basedOn w:val="1"/>
    <w:autoRedefine/>
    <w:qFormat/>
    <w:uiPriority w:val="0"/>
  </w:style>
  <w:style w:type="paragraph" w:styleId="18">
    <w:name w:val="annotation subject"/>
    <w:basedOn w:val="7"/>
    <w:next w:val="7"/>
    <w:link w:val="68"/>
    <w:autoRedefine/>
    <w:qFormat/>
    <w:uiPriority w:val="0"/>
    <w:pPr>
      <w:widowControl w:val="0"/>
    </w:pPr>
    <w:rPr>
      <w:rFonts w:ascii="Calibri" w:hAnsi="Calibri" w:cs="Times New Roman"/>
      <w:b/>
      <w:bCs/>
      <w:kern w:val="2"/>
      <w:sz w:val="21"/>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22"/>
    <w:rPr>
      <w:b/>
      <w:bCs/>
    </w:rPr>
  </w:style>
  <w:style w:type="character" w:styleId="23">
    <w:name w:val="endnote reference"/>
    <w:basedOn w:val="21"/>
    <w:autoRedefine/>
    <w:semiHidden/>
    <w:unhideWhenUsed/>
    <w:qFormat/>
    <w:uiPriority w:val="99"/>
    <w:rPr>
      <w:vertAlign w:val="superscript"/>
    </w:rPr>
  </w:style>
  <w:style w:type="character" w:styleId="24">
    <w:name w:val="FollowedHyperlink"/>
    <w:autoRedefine/>
    <w:unhideWhenUsed/>
    <w:qFormat/>
    <w:uiPriority w:val="99"/>
    <w:rPr>
      <w:color w:val="800080"/>
      <w:u w:val="single"/>
    </w:rPr>
  </w:style>
  <w:style w:type="character" w:styleId="25">
    <w:name w:val="Hyperlink"/>
    <w:basedOn w:val="21"/>
    <w:autoRedefine/>
    <w:unhideWhenUsed/>
    <w:qFormat/>
    <w:uiPriority w:val="99"/>
    <w:rPr>
      <w:color w:val="0563C1" w:themeColor="hyperlink"/>
      <w:u w:val="single"/>
      <w14:textFill>
        <w14:solidFill>
          <w14:schemeClr w14:val="hlink"/>
        </w14:solidFill>
      </w14:textFill>
    </w:rPr>
  </w:style>
  <w:style w:type="character" w:styleId="26">
    <w:name w:val="annotation reference"/>
    <w:basedOn w:val="21"/>
    <w:autoRedefine/>
    <w:semiHidden/>
    <w:unhideWhenUsed/>
    <w:qFormat/>
    <w:uiPriority w:val="99"/>
    <w:rPr>
      <w:sz w:val="21"/>
      <w:szCs w:val="21"/>
    </w:rPr>
  </w:style>
  <w:style w:type="character" w:customStyle="1" w:styleId="27">
    <w:name w:val="正文文本 字符"/>
    <w:basedOn w:val="21"/>
    <w:link w:val="8"/>
    <w:autoRedefine/>
    <w:semiHidden/>
    <w:qFormat/>
    <w:uiPriority w:val="99"/>
    <w:rPr>
      <w:rFonts w:ascii="宋体" w:hAnsi="宋体" w:eastAsia="宋体" w:cs="宋体"/>
      <w:kern w:val="0"/>
      <w:sz w:val="24"/>
      <w:szCs w:val="24"/>
    </w:rPr>
  </w:style>
  <w:style w:type="paragraph" w:customStyle="1" w:styleId="28">
    <w:name w:val="11"/>
    <w:basedOn w:val="1"/>
    <w:autoRedefine/>
    <w:semiHidden/>
    <w:qFormat/>
    <w:uiPriority w:val="99"/>
    <w:pPr>
      <w:spacing w:before="100" w:beforeAutospacing="1" w:after="100" w:afterAutospacing="1"/>
    </w:pPr>
  </w:style>
  <w:style w:type="character" w:customStyle="1" w:styleId="29">
    <w:name w:val="标题 1 字符"/>
    <w:basedOn w:val="21"/>
    <w:link w:val="2"/>
    <w:autoRedefine/>
    <w:qFormat/>
    <w:uiPriority w:val="9"/>
    <w:rPr>
      <w:b/>
      <w:bCs/>
      <w:kern w:val="44"/>
      <w:sz w:val="44"/>
      <w:szCs w:val="44"/>
    </w:rPr>
  </w:style>
  <w:style w:type="character" w:customStyle="1" w:styleId="30">
    <w:name w:val="日期 字符"/>
    <w:basedOn w:val="21"/>
    <w:link w:val="10"/>
    <w:autoRedefine/>
    <w:semiHidden/>
    <w:qFormat/>
    <w:uiPriority w:val="99"/>
    <w:rPr>
      <w:rFonts w:ascii="宋体" w:hAnsi="宋体" w:eastAsia="宋体" w:cs="宋体"/>
      <w:kern w:val="0"/>
      <w:sz w:val="24"/>
      <w:szCs w:val="24"/>
    </w:rPr>
  </w:style>
  <w:style w:type="paragraph" w:customStyle="1" w:styleId="31">
    <w:name w:val="21"/>
    <w:basedOn w:val="1"/>
    <w:autoRedefine/>
    <w:semiHidden/>
    <w:qFormat/>
    <w:uiPriority w:val="99"/>
    <w:pPr>
      <w:spacing w:before="100" w:beforeAutospacing="1" w:after="100" w:afterAutospacing="1"/>
    </w:pPr>
  </w:style>
  <w:style w:type="paragraph" w:customStyle="1" w:styleId="32">
    <w:name w:val="tableparagraph"/>
    <w:basedOn w:val="1"/>
    <w:autoRedefine/>
    <w:semiHidden/>
    <w:qFormat/>
    <w:uiPriority w:val="99"/>
    <w:pPr>
      <w:spacing w:before="100" w:beforeAutospacing="1" w:after="100" w:afterAutospacing="1"/>
    </w:pPr>
  </w:style>
  <w:style w:type="character" w:customStyle="1" w:styleId="33">
    <w:name w:val="标题 2 字符"/>
    <w:basedOn w:val="21"/>
    <w:link w:val="3"/>
    <w:autoRedefine/>
    <w:qFormat/>
    <w:uiPriority w:val="9"/>
    <w:rPr>
      <w:rFonts w:ascii="Cambria" w:hAnsi="Cambria" w:eastAsia="宋体" w:cs="Times New Roman"/>
      <w:b/>
      <w:bCs/>
      <w:sz w:val="32"/>
      <w:szCs w:val="32"/>
    </w:rPr>
  </w:style>
  <w:style w:type="character" w:customStyle="1" w:styleId="34">
    <w:name w:val="标题 3 字符"/>
    <w:basedOn w:val="21"/>
    <w:link w:val="4"/>
    <w:autoRedefine/>
    <w:qFormat/>
    <w:uiPriority w:val="9"/>
    <w:rPr>
      <w:b/>
      <w:bCs/>
      <w:sz w:val="32"/>
      <w:szCs w:val="32"/>
    </w:rPr>
  </w:style>
  <w:style w:type="character" w:customStyle="1" w:styleId="35">
    <w:name w:val="标题 4 字符"/>
    <w:basedOn w:val="21"/>
    <w:link w:val="5"/>
    <w:autoRedefine/>
    <w:qFormat/>
    <w:uiPriority w:val="9"/>
    <w:rPr>
      <w:rFonts w:asciiTheme="majorHAnsi" w:hAnsiTheme="majorHAnsi" w:eastAsiaTheme="majorEastAsia" w:cstheme="majorBidi"/>
      <w:b/>
      <w:bCs/>
      <w:kern w:val="0"/>
      <w:sz w:val="28"/>
      <w:szCs w:val="28"/>
    </w:rPr>
  </w:style>
  <w:style w:type="character" w:customStyle="1" w:styleId="36">
    <w:name w:val="批注文字 字符"/>
    <w:basedOn w:val="21"/>
    <w:link w:val="7"/>
    <w:autoRedefine/>
    <w:semiHidden/>
    <w:qFormat/>
    <w:uiPriority w:val="99"/>
    <w:rPr>
      <w:rFonts w:ascii="宋体" w:hAnsi="宋体" w:eastAsia="宋体" w:cs="宋体"/>
      <w:kern w:val="0"/>
      <w:sz w:val="24"/>
      <w:szCs w:val="24"/>
    </w:rPr>
  </w:style>
  <w:style w:type="character" w:customStyle="1" w:styleId="37">
    <w:name w:val="标题 5 字符"/>
    <w:basedOn w:val="21"/>
    <w:link w:val="6"/>
    <w:autoRedefine/>
    <w:qFormat/>
    <w:uiPriority w:val="9"/>
    <w:rPr>
      <w:rFonts w:ascii="宋体" w:hAnsi="宋体" w:eastAsia="宋体" w:cs="宋体"/>
      <w:b/>
      <w:bCs/>
      <w:kern w:val="0"/>
      <w:sz w:val="28"/>
      <w:szCs w:val="28"/>
    </w:rPr>
  </w:style>
  <w:style w:type="character" w:customStyle="1" w:styleId="38">
    <w:name w:val="尾注文本 字符"/>
    <w:basedOn w:val="21"/>
    <w:link w:val="11"/>
    <w:autoRedefine/>
    <w:semiHidden/>
    <w:qFormat/>
    <w:uiPriority w:val="99"/>
    <w:rPr>
      <w:rFonts w:ascii="宋体" w:hAnsi="宋体" w:eastAsia="宋体" w:cs="宋体"/>
      <w:sz w:val="24"/>
      <w:szCs w:val="24"/>
    </w:rPr>
  </w:style>
  <w:style w:type="character" w:customStyle="1" w:styleId="39">
    <w:name w:val="页眉 字符"/>
    <w:basedOn w:val="21"/>
    <w:link w:val="14"/>
    <w:autoRedefine/>
    <w:qFormat/>
    <w:uiPriority w:val="99"/>
    <w:rPr>
      <w:rFonts w:ascii="宋体" w:hAnsi="宋体" w:eastAsia="宋体" w:cs="宋体"/>
      <w:sz w:val="18"/>
      <w:szCs w:val="18"/>
    </w:rPr>
  </w:style>
  <w:style w:type="character" w:customStyle="1" w:styleId="40">
    <w:name w:val="页脚 字符"/>
    <w:basedOn w:val="21"/>
    <w:link w:val="13"/>
    <w:autoRedefine/>
    <w:qFormat/>
    <w:uiPriority w:val="99"/>
    <w:rPr>
      <w:rFonts w:ascii="宋体" w:hAnsi="宋体" w:eastAsia="宋体" w:cs="宋体"/>
      <w:sz w:val="18"/>
      <w:szCs w:val="18"/>
    </w:rPr>
  </w:style>
  <w:style w:type="paragraph" w:customStyle="1" w:styleId="41">
    <w:name w:val="评估4级标题"/>
    <w:basedOn w:val="1"/>
    <w:link w:val="42"/>
    <w:autoRedefine/>
    <w:qFormat/>
    <w:uiPriority w:val="0"/>
    <w:pPr>
      <w:widowControl w:val="0"/>
      <w:spacing w:line="360" w:lineRule="auto"/>
      <w:ind w:firstLine="562" w:firstLineChars="200"/>
      <w:jc w:val="both"/>
    </w:pPr>
    <w:rPr>
      <w:rFonts w:ascii="Times New Roman" w:hAnsi="Times New Roman" w:eastAsia="仿宋_GB2312" w:cs="Times New Roman"/>
      <w:b/>
      <w:kern w:val="2"/>
      <w:sz w:val="28"/>
      <w:szCs w:val="28"/>
    </w:rPr>
  </w:style>
  <w:style w:type="character" w:customStyle="1" w:styleId="42">
    <w:name w:val="评估4级标题 Char"/>
    <w:link w:val="41"/>
    <w:autoRedefine/>
    <w:qFormat/>
    <w:uiPriority w:val="0"/>
    <w:rPr>
      <w:rFonts w:ascii="Times New Roman" w:hAnsi="Times New Roman" w:eastAsia="仿宋_GB2312" w:cs="Times New Roman"/>
      <w:b/>
      <w:kern w:val="2"/>
      <w:sz w:val="28"/>
      <w:szCs w:val="28"/>
    </w:rPr>
  </w:style>
  <w:style w:type="character" w:customStyle="1" w:styleId="43">
    <w:name w:val="font31"/>
    <w:autoRedefine/>
    <w:qFormat/>
    <w:uiPriority w:val="0"/>
    <w:rPr>
      <w:rFonts w:ascii="Calibri" w:hAnsi="Calibri" w:cs="Calibri"/>
      <w:color w:val="000000"/>
      <w:sz w:val="21"/>
      <w:szCs w:val="21"/>
      <w:u w:val="none"/>
    </w:rPr>
  </w:style>
  <w:style w:type="character" w:customStyle="1" w:styleId="44">
    <w:name w:val="font21"/>
    <w:autoRedefine/>
    <w:qFormat/>
    <w:uiPriority w:val="0"/>
    <w:rPr>
      <w:rFonts w:ascii="Calibri" w:hAnsi="Calibri" w:cs="Calibri"/>
      <w:color w:val="000000"/>
      <w:sz w:val="21"/>
      <w:szCs w:val="21"/>
      <w:u w:val="none"/>
    </w:rPr>
  </w:style>
  <w:style w:type="character" w:customStyle="1" w:styleId="45">
    <w:name w:val="font11"/>
    <w:autoRedefine/>
    <w:qFormat/>
    <w:uiPriority w:val="0"/>
    <w:rPr>
      <w:rFonts w:hint="eastAsia" w:ascii="宋体" w:hAnsi="宋体" w:eastAsia="宋体" w:cs="宋体"/>
      <w:color w:val="000000"/>
      <w:sz w:val="21"/>
      <w:szCs w:val="21"/>
      <w:u w:val="none"/>
    </w:rPr>
  </w:style>
  <w:style w:type="character" w:customStyle="1" w:styleId="46">
    <w:name w:val="批注框文本 字符"/>
    <w:basedOn w:val="21"/>
    <w:link w:val="12"/>
    <w:autoRedefine/>
    <w:qFormat/>
    <w:uiPriority w:val="99"/>
    <w:rPr>
      <w:rFonts w:ascii="宋体" w:hAnsi="宋体" w:eastAsia="宋体" w:cs="宋体"/>
      <w:sz w:val="18"/>
      <w:szCs w:val="18"/>
      <w:lang w:val="en-GB"/>
    </w:rPr>
  </w:style>
  <w:style w:type="paragraph" w:customStyle="1" w:styleId="47">
    <w:name w:val="listtable"/>
    <w:basedOn w:val="1"/>
    <w:autoRedefine/>
    <w:semiHidden/>
    <w:qFormat/>
    <w:uiPriority w:val="99"/>
    <w:pPr>
      <w:pBdr>
        <w:top w:val="single" w:color="006CB2" w:sz="6" w:space="0"/>
        <w:left w:val="single" w:color="006CB2" w:sz="6" w:space="0"/>
        <w:bottom w:val="single" w:color="006CB2" w:sz="6" w:space="0"/>
        <w:right w:val="single" w:color="006CB2" w:sz="6" w:space="0"/>
      </w:pBdr>
    </w:pPr>
    <w:rPr>
      <w:sz w:val="20"/>
      <w:szCs w:val="20"/>
      <w:lang w:val="en-GB"/>
    </w:rPr>
  </w:style>
  <w:style w:type="paragraph" w:customStyle="1" w:styleId="48">
    <w:name w:val="darkcolumn"/>
    <w:basedOn w:val="1"/>
    <w:autoRedefine/>
    <w:semiHidden/>
    <w:qFormat/>
    <w:uiPriority w:val="99"/>
    <w:pPr>
      <w:shd w:val="clear" w:color="auto" w:fill="C7DBFF"/>
    </w:pPr>
    <w:rPr>
      <w:color w:val="000000"/>
      <w:lang w:val="en-GB"/>
    </w:rPr>
  </w:style>
  <w:style w:type="paragraph" w:customStyle="1" w:styleId="49">
    <w:name w:val="preview_chapterstyle"/>
    <w:basedOn w:val="1"/>
    <w:autoRedefine/>
    <w:semiHidden/>
    <w:qFormat/>
    <w:uiPriority w:val="99"/>
    <w:rPr>
      <w:b/>
      <w:bCs/>
      <w:sz w:val="21"/>
      <w:szCs w:val="21"/>
      <w:lang w:val="en-GB"/>
    </w:rPr>
  </w:style>
  <w:style w:type="paragraph" w:customStyle="1" w:styleId="50">
    <w:name w:val="page"/>
    <w:basedOn w:val="1"/>
    <w:autoRedefine/>
    <w:semiHidden/>
    <w:qFormat/>
    <w:uiPriority w:val="99"/>
    <w:pPr>
      <w:spacing w:before="1361" w:after="1361"/>
      <w:ind w:left="1797" w:right="1797"/>
    </w:pPr>
    <w:rPr>
      <w:lang w:val="en-GB"/>
    </w:rPr>
  </w:style>
  <w:style w:type="paragraph" w:customStyle="1" w:styleId="51">
    <w:name w:val="批注框文本1"/>
    <w:basedOn w:val="1"/>
    <w:link w:val="52"/>
    <w:autoRedefine/>
    <w:qFormat/>
    <w:uiPriority w:val="0"/>
    <w:rPr>
      <w:lang w:val="en-GB"/>
    </w:rPr>
  </w:style>
  <w:style w:type="character" w:customStyle="1" w:styleId="52">
    <w:name w:val="批注框文本 Char"/>
    <w:link w:val="51"/>
    <w:autoRedefine/>
    <w:qFormat/>
    <w:locked/>
    <w:uiPriority w:val="0"/>
    <w:rPr>
      <w:rFonts w:ascii="宋体" w:hAnsi="宋体" w:eastAsia="宋体" w:cs="宋体"/>
      <w:sz w:val="24"/>
      <w:szCs w:val="24"/>
      <w:lang w:val="en-GB"/>
    </w:rPr>
  </w:style>
  <w:style w:type="table" w:customStyle="1" w:styleId="53">
    <w:name w:val="普通表格1"/>
    <w:autoRedefine/>
    <w:semiHidden/>
    <w:qFormat/>
    <w:uiPriority w:val="99"/>
    <w:rPr>
      <w:rFonts w:ascii="Times New Roman" w:hAnsi="Times New Roman" w:eastAsia="Times New Roman" w:cs="Times New Roman"/>
      <w:lang w:val="en-GB"/>
    </w:rPr>
    <w:tblPr>
      <w:tblCellMar>
        <w:top w:w="0" w:type="dxa"/>
        <w:left w:w="108" w:type="dxa"/>
        <w:bottom w:w="0" w:type="dxa"/>
        <w:right w:w="108" w:type="dxa"/>
      </w:tblCellMar>
    </w:tblPr>
  </w:style>
  <w:style w:type="paragraph" w:customStyle="1" w:styleId="54">
    <w:name w:val="评估1级标题"/>
    <w:basedOn w:val="1"/>
    <w:link w:val="55"/>
    <w:autoRedefine/>
    <w:qFormat/>
    <w:uiPriority w:val="0"/>
    <w:pPr>
      <w:widowControl w:val="0"/>
      <w:spacing w:line="360" w:lineRule="auto"/>
      <w:jc w:val="both"/>
      <w:outlineLvl w:val="0"/>
    </w:pPr>
    <w:rPr>
      <w:rFonts w:ascii="Times New Roman" w:hAnsi="Times New Roman" w:eastAsia="仿宋_GB2312" w:cs="Times New Roman"/>
      <w:b/>
      <w:kern w:val="2"/>
      <w:sz w:val="28"/>
      <w:szCs w:val="28"/>
    </w:rPr>
  </w:style>
  <w:style w:type="character" w:customStyle="1" w:styleId="55">
    <w:name w:val="评估1级标题 Char"/>
    <w:link w:val="54"/>
    <w:autoRedefine/>
    <w:qFormat/>
    <w:uiPriority w:val="0"/>
    <w:rPr>
      <w:rFonts w:ascii="Times New Roman" w:hAnsi="Times New Roman" w:eastAsia="仿宋_GB2312" w:cs="Times New Roman"/>
      <w:b/>
      <w:kern w:val="2"/>
      <w:sz w:val="28"/>
      <w:szCs w:val="28"/>
    </w:rPr>
  </w:style>
  <w:style w:type="paragraph" w:customStyle="1" w:styleId="56">
    <w:name w:val="评估3级标题"/>
    <w:basedOn w:val="1"/>
    <w:link w:val="57"/>
    <w:autoRedefine/>
    <w:qFormat/>
    <w:uiPriority w:val="0"/>
    <w:pPr>
      <w:widowControl w:val="0"/>
      <w:spacing w:line="360" w:lineRule="auto"/>
      <w:ind w:firstLine="562" w:firstLineChars="200"/>
      <w:jc w:val="both"/>
    </w:pPr>
    <w:rPr>
      <w:rFonts w:ascii="Times New Roman" w:hAnsi="Times New Roman" w:eastAsia="仿宋_GB2312" w:cs="Times New Roman"/>
      <w:b/>
      <w:kern w:val="2"/>
      <w:sz w:val="28"/>
      <w:szCs w:val="28"/>
    </w:rPr>
  </w:style>
  <w:style w:type="character" w:customStyle="1" w:styleId="57">
    <w:name w:val="评估3级标题 Char"/>
    <w:link w:val="56"/>
    <w:autoRedefine/>
    <w:qFormat/>
    <w:uiPriority w:val="0"/>
    <w:rPr>
      <w:rFonts w:ascii="Times New Roman" w:hAnsi="Times New Roman" w:eastAsia="仿宋_GB2312" w:cs="Times New Roman"/>
      <w:b/>
      <w:kern w:val="2"/>
      <w:sz w:val="28"/>
      <w:szCs w:val="28"/>
    </w:rPr>
  </w:style>
  <w:style w:type="paragraph" w:customStyle="1" w:styleId="58">
    <w:name w:val="评估2级标题"/>
    <w:basedOn w:val="1"/>
    <w:link w:val="59"/>
    <w:autoRedefine/>
    <w:qFormat/>
    <w:uiPriority w:val="0"/>
    <w:pPr>
      <w:widowControl w:val="0"/>
      <w:spacing w:line="360" w:lineRule="auto"/>
      <w:jc w:val="both"/>
    </w:pPr>
    <w:rPr>
      <w:rFonts w:ascii="Times New Roman" w:hAnsi="Times New Roman" w:eastAsia="仿宋_GB2312" w:cs="Times New Roman"/>
      <w:b/>
      <w:kern w:val="2"/>
      <w:sz w:val="28"/>
      <w:szCs w:val="28"/>
    </w:rPr>
  </w:style>
  <w:style w:type="character" w:customStyle="1" w:styleId="59">
    <w:name w:val="评估2级标题 Char"/>
    <w:link w:val="58"/>
    <w:autoRedefine/>
    <w:qFormat/>
    <w:uiPriority w:val="0"/>
    <w:rPr>
      <w:rFonts w:ascii="Times New Roman" w:hAnsi="Times New Roman" w:eastAsia="仿宋_GB2312" w:cs="Times New Roman"/>
      <w:b/>
      <w:kern w:val="2"/>
      <w:sz w:val="28"/>
      <w:szCs w:val="28"/>
    </w:rPr>
  </w:style>
  <w:style w:type="paragraph" w:customStyle="1" w:styleId="60">
    <w:name w:val="msonormal"/>
    <w:basedOn w:val="1"/>
    <w:autoRedefine/>
    <w:qFormat/>
    <w:uiPriority w:val="99"/>
  </w:style>
  <w:style w:type="character" w:customStyle="1" w:styleId="61">
    <w:name w:val="批注框文本 字符1"/>
    <w:autoRedefine/>
    <w:semiHidden/>
    <w:qFormat/>
    <w:locked/>
    <w:uiPriority w:val="99"/>
    <w:rPr>
      <w:rFonts w:hint="eastAsia" w:ascii="宋体" w:hAnsi="宋体" w:eastAsia="宋体" w:cs="宋体"/>
      <w:sz w:val="18"/>
      <w:szCs w:val="18"/>
    </w:rPr>
  </w:style>
  <w:style w:type="paragraph" w:customStyle="1" w:styleId="62">
    <w:name w:val="WPSOffice手动目录 1"/>
    <w:autoRedefine/>
    <w:qFormat/>
    <w:uiPriority w:val="0"/>
    <w:rPr>
      <w:rFonts w:asciiTheme="minorHAnsi" w:hAnsiTheme="minorHAnsi" w:eastAsiaTheme="minorEastAsia" w:cstheme="minorBidi"/>
      <w:lang w:val="en-GB" w:eastAsia="zh-CN" w:bidi="ar-SA"/>
    </w:rPr>
  </w:style>
  <w:style w:type="paragraph" w:customStyle="1" w:styleId="63">
    <w:name w:val="WPSOffice手动目录 2"/>
    <w:autoRedefine/>
    <w:qFormat/>
    <w:uiPriority w:val="0"/>
    <w:pPr>
      <w:ind w:left="200" w:leftChars="200"/>
    </w:pPr>
    <w:rPr>
      <w:rFonts w:asciiTheme="minorHAnsi" w:hAnsiTheme="minorHAnsi" w:eastAsiaTheme="minorEastAsia" w:cstheme="minorBidi"/>
      <w:lang w:val="en-GB" w:eastAsia="zh-CN" w:bidi="ar-SA"/>
    </w:rPr>
  </w:style>
  <w:style w:type="paragraph" w:styleId="64">
    <w:name w:val="List Paragraph"/>
    <w:basedOn w:val="1"/>
    <w:autoRedefine/>
    <w:qFormat/>
    <w:uiPriority w:val="1"/>
    <w:pPr>
      <w:widowControl w:val="0"/>
      <w:ind w:left="720"/>
      <w:contextualSpacing/>
      <w:jc w:val="both"/>
    </w:pPr>
    <w:rPr>
      <w:rFonts w:ascii="Calibri" w:hAnsi="Calibri" w:cs="Times New Roman"/>
      <w:kern w:val="2"/>
      <w:sz w:val="21"/>
    </w:rPr>
  </w:style>
  <w:style w:type="paragraph" w:customStyle="1" w:styleId="65">
    <w:name w:val="paragraph"/>
    <w:basedOn w:val="1"/>
    <w:autoRedefine/>
    <w:semiHidden/>
    <w:qFormat/>
    <w:uiPriority w:val="0"/>
    <w:pPr>
      <w:spacing w:before="100" w:beforeAutospacing="1" w:after="100" w:afterAutospacing="1"/>
    </w:pPr>
    <w:rPr>
      <w:rFonts w:ascii="等线" w:hAnsi="等线" w:eastAsia="等线" w:cs="Times New Roman"/>
    </w:rPr>
  </w:style>
  <w:style w:type="paragraph" w:customStyle="1" w:styleId="66">
    <w:name w:val="4"/>
    <w:basedOn w:val="1"/>
    <w:link w:val="67"/>
    <w:autoRedefine/>
    <w:qFormat/>
    <w:uiPriority w:val="0"/>
    <w:pPr>
      <w:widowControl w:val="0"/>
      <w:spacing w:line="360" w:lineRule="auto"/>
      <w:ind w:firstLine="551" w:firstLineChars="196"/>
      <w:jc w:val="both"/>
    </w:pPr>
    <w:rPr>
      <w:b/>
      <w:kern w:val="2"/>
      <w:sz w:val="28"/>
      <w:szCs w:val="28"/>
    </w:rPr>
  </w:style>
  <w:style w:type="character" w:customStyle="1" w:styleId="67">
    <w:name w:val="4 字符"/>
    <w:basedOn w:val="21"/>
    <w:link w:val="66"/>
    <w:autoRedefine/>
    <w:qFormat/>
    <w:uiPriority w:val="0"/>
    <w:rPr>
      <w:rFonts w:ascii="宋体" w:hAnsi="宋体" w:eastAsia="宋体" w:cs="宋体"/>
      <w:b/>
      <w:kern w:val="2"/>
      <w:sz w:val="28"/>
      <w:szCs w:val="28"/>
    </w:rPr>
  </w:style>
  <w:style w:type="character" w:customStyle="1" w:styleId="68">
    <w:name w:val="批注主题 字符"/>
    <w:basedOn w:val="36"/>
    <w:link w:val="18"/>
    <w:autoRedefine/>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91CC0-27C0-4B2A-B3BB-5F894911B92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3237</Words>
  <Characters>18457</Characters>
  <Lines>153</Lines>
  <Paragraphs>43</Paragraphs>
  <TotalTime>0</TotalTime>
  <ScaleCrop>false</ScaleCrop>
  <LinksUpToDate>false</LinksUpToDate>
  <CharactersWithSpaces>21651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2024-03-01T09:14:00Z</dcterms:created>
  <dc:creator>Lifan Zheng</dc:creator>
  <cp:lastModifiedBy>唐小霸</cp:lastModifiedBy>
  <dcterms:modified xsi:type="dcterms:W3CDTF">2024-03-12T02:59:47Z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253F8DEF0FCE412588BE2B678558630B_12</vt:lpwstr>
  </property>
</Properties>
</file>