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BC" w:rsidRPr="000F116A" w:rsidRDefault="00776FBF" w:rsidP="000F116A">
      <w:pPr>
        <w:spacing w:line="360" w:lineRule="auto"/>
        <w:jc w:val="center"/>
        <w:rPr>
          <w:rFonts w:asciiTheme="minorEastAsia" w:hAnsiTheme="minorEastAsia"/>
          <w:b/>
          <w:szCs w:val="24"/>
        </w:rPr>
      </w:pPr>
      <w:r w:rsidRPr="000F116A">
        <w:rPr>
          <w:rFonts w:asciiTheme="minorEastAsia" w:hAnsiTheme="minorEastAsia" w:hint="eastAsia"/>
          <w:b/>
          <w:szCs w:val="24"/>
        </w:rPr>
        <w:t>管理学院关于《学分制学生选课管理办法》的实施意见</w:t>
      </w:r>
    </w:p>
    <w:p w:rsidR="00156072" w:rsidRPr="000F116A" w:rsidRDefault="00156072" w:rsidP="000F116A">
      <w:pPr>
        <w:spacing w:line="360" w:lineRule="auto"/>
        <w:jc w:val="center"/>
        <w:rPr>
          <w:rFonts w:asciiTheme="minorEastAsia" w:hAnsiTheme="minorEastAsia"/>
          <w:szCs w:val="24"/>
        </w:rPr>
      </w:pPr>
      <w:r w:rsidRPr="000F116A">
        <w:rPr>
          <w:rFonts w:asciiTheme="minorEastAsia" w:hAnsiTheme="minorEastAsia" w:hint="eastAsia"/>
          <w:szCs w:val="24"/>
        </w:rPr>
        <w:t>《管理学院关于〈学分制学生选课管理办法〉的实施意见》已由管理学院</w:t>
      </w:r>
      <w:r w:rsidR="005F6331">
        <w:rPr>
          <w:rFonts w:asciiTheme="minorEastAsia" w:hAnsiTheme="minorEastAsia" w:hint="eastAsia"/>
          <w:kern w:val="0"/>
          <w:szCs w:val="24"/>
        </w:rPr>
        <w:t>教授委员会</w:t>
      </w:r>
      <w:r w:rsidRPr="000F116A">
        <w:rPr>
          <w:rFonts w:asciiTheme="minorEastAsia" w:hAnsiTheme="minorEastAsia" w:hint="eastAsia"/>
          <w:szCs w:val="24"/>
        </w:rPr>
        <w:t>于201</w:t>
      </w:r>
      <w:r w:rsidR="005F6331">
        <w:rPr>
          <w:rFonts w:asciiTheme="minorEastAsia" w:hAnsiTheme="minorEastAsia" w:hint="eastAsia"/>
          <w:szCs w:val="24"/>
        </w:rPr>
        <w:t>4</w:t>
      </w:r>
      <w:r w:rsidRPr="000F116A">
        <w:rPr>
          <w:rFonts w:asciiTheme="minorEastAsia" w:hAnsiTheme="minorEastAsia" w:hint="eastAsia"/>
          <w:szCs w:val="24"/>
        </w:rPr>
        <w:t>年</w:t>
      </w:r>
      <w:r w:rsidR="005F6331">
        <w:rPr>
          <w:rFonts w:asciiTheme="minorEastAsia" w:hAnsiTheme="minorEastAsia" w:hint="eastAsia"/>
          <w:szCs w:val="24"/>
        </w:rPr>
        <w:t>9</w:t>
      </w:r>
      <w:r w:rsidRPr="000F116A">
        <w:rPr>
          <w:rFonts w:asciiTheme="minorEastAsia" w:hAnsiTheme="minorEastAsia" w:hint="eastAsia"/>
          <w:szCs w:val="24"/>
        </w:rPr>
        <w:t>月</w:t>
      </w:r>
      <w:r w:rsidR="005F6331">
        <w:rPr>
          <w:rFonts w:asciiTheme="minorEastAsia" w:hAnsiTheme="minorEastAsia" w:hint="eastAsia"/>
          <w:szCs w:val="24"/>
        </w:rPr>
        <w:t>16</w:t>
      </w:r>
      <w:r w:rsidRPr="000F116A">
        <w:rPr>
          <w:rFonts w:asciiTheme="minorEastAsia" w:hAnsiTheme="minorEastAsia" w:hint="eastAsia"/>
          <w:szCs w:val="24"/>
        </w:rPr>
        <w:t>日通过，并于同日发布。</w:t>
      </w:r>
    </w:p>
    <w:p w:rsidR="00156072" w:rsidRPr="000F116A" w:rsidRDefault="00156072" w:rsidP="000F116A">
      <w:pPr>
        <w:spacing w:line="360" w:lineRule="auto"/>
        <w:rPr>
          <w:rFonts w:asciiTheme="minorEastAsia" w:hAnsiTheme="minorEastAsia"/>
          <w:szCs w:val="24"/>
        </w:rPr>
      </w:pPr>
    </w:p>
    <w:p w:rsidR="00776FBF" w:rsidRPr="000F116A" w:rsidRDefault="00776FBF"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第一条  为维护学校正常教育教学秩序，规范学分制学生选课管理，保障学生学习权利，促进学生德、智、体、美全面发展，保证人才培养质量，根据《中华人民共和国教育法》、《中华人民共和国高等教育法》和中华人民共和国教育部《普通高等学校学生管理规定》的精神，按照《上海工程技术大学学分制学生选课管理办法》(</w:t>
      </w:r>
      <w:proofErr w:type="gramStart"/>
      <w:r w:rsidRPr="000F116A">
        <w:rPr>
          <w:rFonts w:asciiTheme="minorEastAsia" w:hAnsiTheme="minorEastAsia" w:hint="eastAsia"/>
          <w:szCs w:val="24"/>
        </w:rPr>
        <w:t>原沪工程教</w:t>
      </w:r>
      <w:proofErr w:type="gramEnd"/>
      <w:r w:rsidRPr="000F116A">
        <w:rPr>
          <w:rFonts w:asciiTheme="minorEastAsia" w:hAnsiTheme="minorEastAsia" w:hint="eastAsia"/>
          <w:szCs w:val="24"/>
        </w:rPr>
        <w:t>[2004]93号)、《上海工程技术大学学分制学籍管理条例》（</w:t>
      </w:r>
      <w:proofErr w:type="gramStart"/>
      <w:r w:rsidRPr="000F116A">
        <w:rPr>
          <w:rFonts w:asciiTheme="minorEastAsia" w:hAnsiTheme="minorEastAsia" w:hint="eastAsia"/>
          <w:szCs w:val="24"/>
        </w:rPr>
        <w:t>沪工程教</w:t>
      </w:r>
      <w:proofErr w:type="gramEnd"/>
      <w:r w:rsidRPr="000F116A">
        <w:rPr>
          <w:rFonts w:asciiTheme="minorEastAsia" w:hAnsiTheme="minorEastAsia" w:hint="eastAsia"/>
          <w:szCs w:val="24"/>
        </w:rPr>
        <w:t>[2014]71号）、《上海工程技术大学班主任（导师）作条例》 （沪工程学[2014]96号）的规定，结合管理学院的实际情况，制定本实施意见。</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第二条 学分是学生学习量的计量单位，具体计算方法如下：</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（一） 理论教学课，原则上每16学时为1学分，体育课每32学时为1学分。单独设置的实验课，原则上每20学时为1学分。</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（二） 集中进行的实践性教学，每周为1学分，分散进行的实践性教学，先折算为周数，30学时相当于1周，再按</w:t>
      </w:r>
      <w:proofErr w:type="gramStart"/>
      <w:r w:rsidRPr="000F116A">
        <w:rPr>
          <w:rFonts w:asciiTheme="minorEastAsia" w:hAnsiTheme="minorEastAsia" w:hint="eastAsia"/>
          <w:szCs w:val="24"/>
        </w:rPr>
        <w:t>每周计</w:t>
      </w:r>
      <w:proofErr w:type="gramEnd"/>
      <w:r w:rsidRPr="000F116A">
        <w:rPr>
          <w:rFonts w:asciiTheme="minorEastAsia" w:hAnsiTheme="minorEastAsia" w:hint="eastAsia"/>
          <w:szCs w:val="24"/>
        </w:rPr>
        <w:t>1学分，折算为总学分。</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（三） “合作教育”工作学期每3周计为1学分，每个工作学期（一般为6～8周）最多计为2学分。</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（四） 培养计划中带括号的课为必修，但不计入总学分。</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第三</w:t>
      </w:r>
      <w:r w:rsidR="00776FBF" w:rsidRPr="000F116A">
        <w:rPr>
          <w:rFonts w:asciiTheme="minorEastAsia" w:hAnsiTheme="minorEastAsia" w:hint="eastAsia"/>
          <w:szCs w:val="24"/>
        </w:rPr>
        <w:t>条 选课原则</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（一）</w:t>
      </w:r>
      <w:r w:rsidR="00776FBF" w:rsidRPr="000F116A">
        <w:rPr>
          <w:rFonts w:asciiTheme="minorEastAsia" w:hAnsiTheme="minorEastAsia" w:hint="eastAsia"/>
          <w:szCs w:val="24"/>
        </w:rPr>
        <w:t>学分制《专业指导性培养计划》是选课的基本依据。学生参考《培养计划》，在导师和院、系相关老师的指导下，全面了解各课的学习内容与要求，遵循课程先修后续的规律，确定下一学期的修习计划。</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（二）</w:t>
      </w:r>
      <w:r w:rsidR="00776FBF" w:rsidRPr="000F116A">
        <w:rPr>
          <w:rFonts w:asciiTheme="minorEastAsia" w:hAnsiTheme="minorEastAsia" w:hint="eastAsia"/>
          <w:szCs w:val="24"/>
        </w:rPr>
        <w:t>学校根据培养计划确定并公布每学期开设的课程。学生在课程开设范围内可“三自主”选课：自主选择教师、自主选读课程、自主安排学业进程。</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（三）</w:t>
      </w:r>
      <w:r w:rsidR="00776FBF" w:rsidRPr="000F116A">
        <w:rPr>
          <w:rFonts w:asciiTheme="minorEastAsia" w:hAnsiTheme="minorEastAsia" w:hint="eastAsia"/>
          <w:szCs w:val="24"/>
        </w:rPr>
        <w:t>学生须妥善保管教学管理信息系统密码。选课须本人自行选，不得委托他人代选或替他人代选；委托他人代选造成课程错、漏的，后果由委托人承担。</w:t>
      </w:r>
      <w:r w:rsidRPr="000F116A">
        <w:rPr>
          <w:rFonts w:asciiTheme="minorEastAsia" w:hAnsiTheme="minorEastAsia" w:hint="eastAsia"/>
          <w:szCs w:val="24"/>
        </w:rPr>
        <w:t>如果密码遗忘，学生可到管理学院院办负责教务的老师查询。</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第四条 选课要求</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lastRenderedPageBreak/>
        <w:t>（一）学生每学期修读的课程最高不宜超过35学分，最低不宜低于15学分。</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（二）学生所选的课，一经确认，不得更改。但对因不及格需重读造成课程冲突者，可在每学期开学初规定的时间内进行改、退选。</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（三）未完成学分累计大于10学分（不含第二课堂学分）者，不得进入毕业设计(论文)环节。</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 xml:space="preserve">第五条 </w:t>
      </w:r>
      <w:r w:rsidR="00776FBF" w:rsidRPr="000F116A">
        <w:rPr>
          <w:rFonts w:asciiTheme="minorEastAsia" w:hAnsiTheme="minorEastAsia" w:hint="eastAsia"/>
          <w:szCs w:val="24"/>
        </w:rPr>
        <w:t>选课流程</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（一）</w:t>
      </w:r>
      <w:r w:rsidR="00776FBF" w:rsidRPr="000F116A">
        <w:rPr>
          <w:rFonts w:asciiTheme="minorEastAsia" w:hAnsiTheme="minorEastAsia" w:hint="eastAsia"/>
          <w:szCs w:val="24"/>
        </w:rPr>
        <w:t>选课可分为预选、复选和改、退选等多个阶段。</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（二）</w:t>
      </w:r>
      <w:r w:rsidR="00776FBF" w:rsidRPr="000F116A">
        <w:rPr>
          <w:rFonts w:asciiTheme="minorEastAsia" w:hAnsiTheme="minorEastAsia" w:hint="eastAsia"/>
          <w:szCs w:val="24"/>
        </w:rPr>
        <w:t>学生在选课前，应充分了解《专业指导性培养计划》，在导师的指导下，及时、主动查询，了解课程信息，拟定选课方案。</w:t>
      </w:r>
    </w:p>
    <w:p w:rsidR="00776FBF" w:rsidRPr="000F116A" w:rsidRDefault="00776FBF"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凡有先修后续关系的课，原则上应先选读先修课程，后选读后修课程。</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（三）</w:t>
      </w:r>
      <w:r w:rsidR="00776FBF" w:rsidRPr="000F116A">
        <w:rPr>
          <w:rFonts w:asciiTheme="minorEastAsia" w:hAnsiTheme="minorEastAsia" w:hint="eastAsia"/>
          <w:szCs w:val="24"/>
        </w:rPr>
        <w:t>学生须在规定时间内，通过教学管理信息系统自行选课。</w:t>
      </w:r>
    </w:p>
    <w:p w:rsidR="00776FBF"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（三）</w:t>
      </w:r>
      <w:r w:rsidR="00776FBF" w:rsidRPr="000F116A">
        <w:rPr>
          <w:rFonts w:asciiTheme="minorEastAsia" w:hAnsiTheme="minorEastAsia" w:hint="eastAsia"/>
          <w:szCs w:val="24"/>
        </w:rPr>
        <w:t>学生在校期间，每学期修读各类课程的学分，一般不宜超过35学分，不宜少于15学分，原则上不宜超过专业《培养计划》设定的学期学分的±20%。</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第六条  导师</w:t>
      </w:r>
      <w:r w:rsidR="00351347" w:rsidRPr="000F116A">
        <w:rPr>
          <w:rFonts w:asciiTheme="minorEastAsia" w:hAnsiTheme="minorEastAsia" w:hint="eastAsia"/>
          <w:szCs w:val="24"/>
        </w:rPr>
        <w:t>应当积极地</w:t>
      </w:r>
      <w:r w:rsidRPr="000F116A">
        <w:rPr>
          <w:rFonts w:asciiTheme="minorEastAsia" w:hAnsiTheme="minorEastAsia" w:hint="eastAsia"/>
          <w:szCs w:val="24"/>
        </w:rPr>
        <w:t>指导课程学习，成为学生的业务导师。引导学生树立正确的学习目标，掌握学习方法，提高学习效率。</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w:t>
      </w:r>
      <w:r w:rsidR="00351347" w:rsidRPr="000F116A">
        <w:rPr>
          <w:rFonts w:asciiTheme="minorEastAsia" w:hAnsiTheme="minorEastAsia" w:hint="eastAsia"/>
          <w:szCs w:val="24"/>
        </w:rPr>
        <w:t>七</w:t>
      </w:r>
      <w:r w:rsidRPr="000F116A">
        <w:rPr>
          <w:rFonts w:asciiTheme="minorEastAsia" w:hAnsiTheme="minorEastAsia" w:hint="eastAsia"/>
          <w:szCs w:val="24"/>
        </w:rPr>
        <w:t>条 关心和帮助学生在德、智、体诸方面全面发展，定期与所指导的学生谈话，了解情况，及时指导，掌握学生的思想、心理和学习状况，以便分类指导。</w:t>
      </w:r>
    </w:p>
    <w:p w:rsidR="00351347" w:rsidRPr="000F116A" w:rsidRDefault="00351347"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第八条  帮助学生了解我校学分制教学管理制度的具体规定以及相关专业人才培养方案和教学计划的要求，指导学生制定个人学习计划，确保学生的学期目标、学年目标、学业目标顺利实现。</w:t>
      </w:r>
    </w:p>
    <w:p w:rsidR="00351347" w:rsidRPr="000F116A" w:rsidRDefault="00351347"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第九条 帮助学生了解本学科专业学分制人才培养方案的要求，介绍专业特点、发展动态，指导学生制定个人学习计划，确定学习进程，选择专业方向，指导学生选修课程，使学生构建符合自身特点比较完整的知识结构。</w:t>
      </w:r>
    </w:p>
    <w:p w:rsidR="00351347" w:rsidRPr="000F116A" w:rsidRDefault="00351347"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 xml:space="preserve">第十条 </w:t>
      </w:r>
      <w:r w:rsidR="00926949" w:rsidRPr="000F116A">
        <w:rPr>
          <w:rFonts w:asciiTheme="minorEastAsia" w:hAnsiTheme="minorEastAsia" w:hint="eastAsia"/>
          <w:szCs w:val="24"/>
        </w:rPr>
        <w:t>指导学生学习，帮助学生确定正确的学习目的，端正学习态度，树立良好的学风。</w:t>
      </w:r>
      <w:r w:rsidRPr="000F116A">
        <w:rPr>
          <w:rFonts w:asciiTheme="minorEastAsia" w:hAnsiTheme="minorEastAsia" w:hint="eastAsia"/>
          <w:szCs w:val="24"/>
        </w:rPr>
        <w:t>关注学生的学习进程，指导学生改进学习方法。</w:t>
      </w:r>
    </w:p>
    <w:p w:rsidR="00926949" w:rsidRPr="000F116A" w:rsidRDefault="00351347" w:rsidP="000F116A">
      <w:pPr>
        <w:spacing w:line="360" w:lineRule="auto"/>
        <w:rPr>
          <w:rFonts w:asciiTheme="minorEastAsia" w:hAnsiTheme="minorEastAsia"/>
          <w:szCs w:val="24"/>
        </w:rPr>
      </w:pPr>
      <w:r w:rsidRPr="000F116A">
        <w:rPr>
          <w:rFonts w:asciiTheme="minorEastAsia" w:hAnsiTheme="minorEastAsia" w:hint="eastAsia"/>
          <w:szCs w:val="24"/>
        </w:rPr>
        <w:t>对学生进行选课和学习方法的指导，引导学生处理好学习的质和量的关系，以利于学生形成个性发展的专业方向及多元化的学习需求。</w:t>
      </w:r>
    </w:p>
    <w:p w:rsidR="00926949"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w:t>
      </w:r>
      <w:r w:rsidR="00351347" w:rsidRPr="000F116A">
        <w:rPr>
          <w:rFonts w:asciiTheme="minorEastAsia" w:hAnsiTheme="minorEastAsia" w:hint="eastAsia"/>
          <w:szCs w:val="24"/>
        </w:rPr>
        <w:t>十一</w:t>
      </w:r>
      <w:r w:rsidRPr="000F116A">
        <w:rPr>
          <w:rFonts w:asciiTheme="minorEastAsia" w:hAnsiTheme="minorEastAsia" w:hint="eastAsia"/>
          <w:szCs w:val="24"/>
        </w:rPr>
        <w:t>条 指导学生积极参加科技创新活动、科研活动，培养学生的科研能</w:t>
      </w:r>
      <w:r w:rsidRPr="000F116A">
        <w:rPr>
          <w:rFonts w:asciiTheme="minorEastAsia" w:hAnsiTheme="minorEastAsia" w:hint="eastAsia"/>
          <w:szCs w:val="24"/>
        </w:rPr>
        <w:lastRenderedPageBreak/>
        <w:t>力和实践能力。</w:t>
      </w:r>
      <w:r w:rsidR="00351347" w:rsidRPr="000F116A">
        <w:rPr>
          <w:rFonts w:asciiTheme="minorEastAsia" w:hAnsiTheme="minorEastAsia" w:hint="eastAsia"/>
          <w:szCs w:val="24"/>
        </w:rPr>
        <w:t>指导学生积极参加科技创新和教育实践活动，吸收学生充当科研助手，指导学生进行课题研究，促进学生科研素养和创新能力的培养和提高，指导学生考研。</w:t>
      </w:r>
    </w:p>
    <w:p w:rsidR="00351347" w:rsidRPr="000F116A" w:rsidRDefault="00926949"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w:t>
      </w:r>
      <w:r w:rsidR="00351347" w:rsidRPr="000F116A">
        <w:rPr>
          <w:rFonts w:asciiTheme="minorEastAsia" w:hAnsiTheme="minorEastAsia" w:hint="eastAsia"/>
          <w:szCs w:val="24"/>
        </w:rPr>
        <w:t>十二</w:t>
      </w:r>
      <w:r w:rsidRPr="000F116A">
        <w:rPr>
          <w:rFonts w:asciiTheme="minorEastAsia" w:hAnsiTheme="minorEastAsia" w:hint="eastAsia"/>
          <w:szCs w:val="24"/>
        </w:rPr>
        <w:t>条</w:t>
      </w:r>
      <w:r w:rsidR="00351347" w:rsidRPr="000F116A">
        <w:rPr>
          <w:rFonts w:asciiTheme="minorEastAsia" w:hAnsiTheme="minorEastAsia" w:hint="eastAsia"/>
          <w:szCs w:val="24"/>
        </w:rPr>
        <w:t xml:space="preserve"> 对受到学业提醒或警示的学生给予重点指导，帮助学生制定课程学习计划并督促其严格执行。</w:t>
      </w:r>
    </w:p>
    <w:p w:rsidR="00351347" w:rsidRPr="000F116A" w:rsidRDefault="00351347"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第十三条 本实施意见由管理学院</w:t>
      </w:r>
      <w:r w:rsidR="005F6331">
        <w:rPr>
          <w:rFonts w:asciiTheme="minorEastAsia" w:hAnsiTheme="minorEastAsia" w:hint="eastAsia"/>
          <w:kern w:val="0"/>
          <w:szCs w:val="24"/>
        </w:rPr>
        <w:t>教授委员会</w:t>
      </w:r>
      <w:bookmarkStart w:id="0" w:name="_GoBack"/>
      <w:bookmarkEnd w:id="0"/>
      <w:r w:rsidRPr="000F116A">
        <w:rPr>
          <w:rFonts w:asciiTheme="minorEastAsia" w:hAnsiTheme="minorEastAsia" w:hint="eastAsia"/>
          <w:szCs w:val="24"/>
        </w:rPr>
        <w:t>负责解释。</w:t>
      </w:r>
    </w:p>
    <w:p w:rsidR="00926949" w:rsidRPr="000F116A" w:rsidRDefault="00351347" w:rsidP="000F116A">
      <w:pPr>
        <w:spacing w:line="360" w:lineRule="auto"/>
        <w:ind w:firstLineChars="200" w:firstLine="480"/>
        <w:rPr>
          <w:rFonts w:asciiTheme="minorEastAsia" w:hAnsiTheme="minorEastAsia"/>
          <w:szCs w:val="24"/>
        </w:rPr>
      </w:pPr>
      <w:r w:rsidRPr="000F116A">
        <w:rPr>
          <w:rFonts w:asciiTheme="minorEastAsia" w:hAnsiTheme="minorEastAsia" w:hint="eastAsia"/>
          <w:szCs w:val="24"/>
        </w:rPr>
        <w:t>第十四条 本实施意见自发布之日起实施。</w:t>
      </w:r>
    </w:p>
    <w:p w:rsidR="00926949" w:rsidRPr="000F116A" w:rsidRDefault="00926949" w:rsidP="000F116A">
      <w:pPr>
        <w:spacing w:line="360" w:lineRule="auto"/>
        <w:rPr>
          <w:rFonts w:asciiTheme="minorEastAsia" w:hAnsiTheme="minorEastAsia"/>
          <w:szCs w:val="24"/>
        </w:rPr>
      </w:pPr>
    </w:p>
    <w:p w:rsidR="00926949" w:rsidRPr="000F116A" w:rsidRDefault="00926949" w:rsidP="000F116A">
      <w:pPr>
        <w:spacing w:line="360" w:lineRule="auto"/>
        <w:rPr>
          <w:rFonts w:asciiTheme="minorEastAsia" w:hAnsiTheme="minorEastAsia"/>
          <w:szCs w:val="24"/>
        </w:rPr>
      </w:pPr>
    </w:p>
    <w:p w:rsidR="00926949" w:rsidRPr="000F116A" w:rsidRDefault="00926949" w:rsidP="000F116A">
      <w:pPr>
        <w:spacing w:line="360" w:lineRule="auto"/>
        <w:rPr>
          <w:rFonts w:asciiTheme="minorEastAsia" w:hAnsiTheme="minorEastAsia"/>
          <w:szCs w:val="24"/>
        </w:rPr>
      </w:pPr>
    </w:p>
    <w:sectPr w:rsidR="00926949" w:rsidRPr="000F1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CD4" w:rsidRDefault="00650CD4" w:rsidP="00776FBF">
      <w:r>
        <w:separator/>
      </w:r>
    </w:p>
  </w:endnote>
  <w:endnote w:type="continuationSeparator" w:id="0">
    <w:p w:rsidR="00650CD4" w:rsidRDefault="00650CD4" w:rsidP="0077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CD4" w:rsidRDefault="00650CD4" w:rsidP="00776FBF">
      <w:r>
        <w:separator/>
      </w:r>
    </w:p>
  </w:footnote>
  <w:footnote w:type="continuationSeparator" w:id="0">
    <w:p w:rsidR="00650CD4" w:rsidRDefault="00650CD4" w:rsidP="00776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134"/>
    <w:rsid w:val="000F116A"/>
    <w:rsid w:val="00156072"/>
    <w:rsid w:val="00170FFE"/>
    <w:rsid w:val="001E375E"/>
    <w:rsid w:val="00214418"/>
    <w:rsid w:val="00351347"/>
    <w:rsid w:val="003E3134"/>
    <w:rsid w:val="004F18BC"/>
    <w:rsid w:val="005F6331"/>
    <w:rsid w:val="00650CD4"/>
    <w:rsid w:val="006E6239"/>
    <w:rsid w:val="00776FBF"/>
    <w:rsid w:val="008F3B16"/>
    <w:rsid w:val="0092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F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6FBF"/>
    <w:rPr>
      <w:sz w:val="18"/>
      <w:szCs w:val="18"/>
    </w:rPr>
  </w:style>
  <w:style w:type="paragraph" w:styleId="a4">
    <w:name w:val="footer"/>
    <w:basedOn w:val="a"/>
    <w:link w:val="Char0"/>
    <w:uiPriority w:val="99"/>
    <w:unhideWhenUsed/>
    <w:rsid w:val="00776FBF"/>
    <w:pPr>
      <w:tabs>
        <w:tab w:val="center" w:pos="4153"/>
        <w:tab w:val="right" w:pos="8306"/>
      </w:tabs>
      <w:snapToGrid w:val="0"/>
      <w:jc w:val="left"/>
    </w:pPr>
    <w:rPr>
      <w:sz w:val="18"/>
      <w:szCs w:val="18"/>
    </w:rPr>
  </w:style>
  <w:style w:type="character" w:customStyle="1" w:styleId="Char0">
    <w:name w:val="页脚 Char"/>
    <w:basedOn w:val="a0"/>
    <w:link w:val="a4"/>
    <w:uiPriority w:val="99"/>
    <w:rsid w:val="00776FBF"/>
    <w:rPr>
      <w:sz w:val="18"/>
      <w:szCs w:val="18"/>
    </w:rPr>
  </w:style>
  <w:style w:type="paragraph" w:styleId="a5">
    <w:name w:val="List Paragraph"/>
    <w:basedOn w:val="a"/>
    <w:uiPriority w:val="34"/>
    <w:qFormat/>
    <w:rsid w:val="00776FB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F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6FBF"/>
    <w:rPr>
      <w:sz w:val="18"/>
      <w:szCs w:val="18"/>
    </w:rPr>
  </w:style>
  <w:style w:type="paragraph" w:styleId="a4">
    <w:name w:val="footer"/>
    <w:basedOn w:val="a"/>
    <w:link w:val="Char0"/>
    <w:uiPriority w:val="99"/>
    <w:unhideWhenUsed/>
    <w:rsid w:val="00776FBF"/>
    <w:pPr>
      <w:tabs>
        <w:tab w:val="center" w:pos="4153"/>
        <w:tab w:val="right" w:pos="8306"/>
      </w:tabs>
      <w:snapToGrid w:val="0"/>
      <w:jc w:val="left"/>
    </w:pPr>
    <w:rPr>
      <w:sz w:val="18"/>
      <w:szCs w:val="18"/>
    </w:rPr>
  </w:style>
  <w:style w:type="character" w:customStyle="1" w:styleId="Char0">
    <w:name w:val="页脚 Char"/>
    <w:basedOn w:val="a0"/>
    <w:link w:val="a4"/>
    <w:uiPriority w:val="99"/>
    <w:rsid w:val="00776FBF"/>
    <w:rPr>
      <w:sz w:val="18"/>
      <w:szCs w:val="18"/>
    </w:rPr>
  </w:style>
  <w:style w:type="paragraph" w:styleId="a5">
    <w:name w:val="List Paragraph"/>
    <w:basedOn w:val="a"/>
    <w:uiPriority w:val="34"/>
    <w:qFormat/>
    <w:rsid w:val="00776F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15</cp:revision>
  <dcterms:created xsi:type="dcterms:W3CDTF">2016-08-13T02:57:00Z</dcterms:created>
  <dcterms:modified xsi:type="dcterms:W3CDTF">2016-11-22T02:07:00Z</dcterms:modified>
</cp:coreProperties>
</file>